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eastAsia="仿宋_GB2312"/>
          <w:snapToGrid w:val="0"/>
          <w:kern w:val="0"/>
          <w:sz w:val="32"/>
          <w:szCs w:val="32"/>
        </w:rPr>
      </w:pPr>
      <w:r>
        <w:rPr>
          <w:rFonts w:hint="eastAsia" w:eastAsia="方正小标宋_GBK"/>
          <w:snapToGrid w:val="0"/>
          <w:kern w:val="0"/>
          <w:sz w:val="44"/>
          <w:szCs w:val="44"/>
        </w:rPr>
        <w:t>《</w:t>
      </w:r>
      <w:r>
        <w:rPr>
          <w:rFonts w:eastAsia="方正小标宋_GBK"/>
          <w:snapToGrid w:val="0"/>
          <w:kern w:val="0"/>
          <w:sz w:val="44"/>
          <w:szCs w:val="44"/>
        </w:rPr>
        <w:t>广州市中小学教师继续教育管理实施意见</w:t>
      </w:r>
      <w:r>
        <w:rPr>
          <w:rFonts w:hint="eastAsia" w:eastAsia="方正小标宋_GBK"/>
          <w:snapToGrid w:val="0"/>
          <w:kern w:val="0"/>
          <w:sz w:val="44"/>
          <w:szCs w:val="44"/>
        </w:rPr>
        <w:t>》政策</w:t>
      </w:r>
      <w:r>
        <w:rPr>
          <w:rFonts w:eastAsia="方正小标宋_GBK"/>
          <w:snapToGrid w:val="0"/>
          <w:kern w:val="0"/>
          <w:sz w:val="44"/>
          <w:szCs w:val="44"/>
        </w:rPr>
        <w:t>解读</w:t>
      </w:r>
    </w:p>
    <w:p>
      <w:pPr>
        <w:adjustRightInd w:val="0"/>
        <w:snapToGrid w:val="0"/>
        <w:spacing w:line="560" w:lineRule="exact"/>
        <w:jc w:val="center"/>
        <w:rPr>
          <w:rFonts w:eastAsia="仿宋_GB2312"/>
          <w:snapToGrid w:val="0"/>
          <w:kern w:val="0"/>
          <w:sz w:val="32"/>
          <w:szCs w:val="32"/>
        </w:rPr>
      </w:pPr>
    </w:p>
    <w:p>
      <w:pPr>
        <w:spacing w:line="560" w:lineRule="exact"/>
        <w:ind w:firstLine="640"/>
        <w:rPr>
          <w:rFonts w:eastAsia="仿宋_GB2312"/>
          <w:snapToGrid w:val="0"/>
          <w:kern w:val="0"/>
          <w:sz w:val="32"/>
          <w:szCs w:val="32"/>
        </w:rPr>
      </w:pPr>
      <w:r>
        <w:rPr>
          <w:rFonts w:eastAsia="仿宋_GB2312"/>
          <w:snapToGrid w:val="0"/>
          <w:kern w:val="0"/>
          <w:sz w:val="32"/>
          <w:szCs w:val="32"/>
        </w:rPr>
        <w:t>为进一步加强广州市中小学教师继续教育制度化、规范化建设，提高广州市中小学教师队伍整体素质，促进教师专业发展，制定</w:t>
      </w:r>
      <w:r>
        <w:rPr>
          <w:rFonts w:hint="eastAsia" w:eastAsia="仿宋_GB2312"/>
          <w:snapToGrid w:val="0"/>
          <w:kern w:val="0"/>
          <w:sz w:val="32"/>
          <w:szCs w:val="32"/>
        </w:rPr>
        <w:t>《</w:t>
      </w:r>
      <w:r>
        <w:rPr>
          <w:rFonts w:eastAsia="仿宋_GB2312"/>
          <w:snapToGrid w:val="0"/>
          <w:kern w:val="0"/>
          <w:sz w:val="32"/>
          <w:szCs w:val="32"/>
        </w:rPr>
        <w:t>广州市中小学教师继续教育管理实施意见</w:t>
      </w:r>
      <w:r>
        <w:rPr>
          <w:rFonts w:hint="eastAsia" w:eastAsia="仿宋_GB2312"/>
          <w:snapToGrid w:val="0"/>
          <w:kern w:val="0"/>
          <w:sz w:val="32"/>
          <w:szCs w:val="32"/>
        </w:rPr>
        <w:t>》（简称</w:t>
      </w:r>
      <w:r>
        <w:rPr>
          <w:rFonts w:eastAsia="仿宋_GB2312"/>
          <w:snapToGrid w:val="0"/>
          <w:kern w:val="0"/>
          <w:sz w:val="32"/>
          <w:szCs w:val="32"/>
        </w:rPr>
        <w:t>《</w:t>
      </w:r>
      <w:r>
        <w:rPr>
          <w:rFonts w:hint="eastAsia" w:eastAsia="仿宋_GB2312"/>
          <w:snapToGrid w:val="0"/>
          <w:kern w:val="0"/>
          <w:sz w:val="32"/>
          <w:szCs w:val="32"/>
        </w:rPr>
        <w:t>实施意见</w:t>
      </w:r>
      <w:r>
        <w:rPr>
          <w:rFonts w:eastAsia="仿宋_GB2312"/>
          <w:snapToGrid w:val="0"/>
          <w:kern w:val="0"/>
          <w:sz w:val="32"/>
          <w:szCs w:val="32"/>
        </w:rPr>
        <w:t>》</w:t>
      </w:r>
      <w:r>
        <w:rPr>
          <w:rFonts w:hint="eastAsia" w:eastAsia="仿宋_GB2312"/>
          <w:snapToGrid w:val="0"/>
          <w:kern w:val="0"/>
          <w:sz w:val="32"/>
          <w:szCs w:val="32"/>
        </w:rPr>
        <w:t>）。《</w:t>
      </w:r>
      <w:r>
        <w:rPr>
          <w:rFonts w:eastAsia="仿宋_GB2312"/>
          <w:snapToGrid w:val="0"/>
          <w:kern w:val="0"/>
          <w:sz w:val="32"/>
          <w:szCs w:val="32"/>
        </w:rPr>
        <w:t>实施意见</w:t>
      </w:r>
      <w:r>
        <w:rPr>
          <w:rFonts w:hint="eastAsia" w:eastAsia="仿宋_GB2312"/>
          <w:snapToGrid w:val="0"/>
          <w:kern w:val="0"/>
          <w:sz w:val="32"/>
          <w:szCs w:val="32"/>
        </w:rPr>
        <w:t>》规定</w:t>
      </w:r>
      <w:r>
        <w:rPr>
          <w:rFonts w:eastAsia="仿宋_GB2312"/>
          <w:snapToGrid w:val="0"/>
          <w:kern w:val="0"/>
          <w:sz w:val="32"/>
          <w:szCs w:val="32"/>
        </w:rPr>
        <w:t>了</w:t>
      </w:r>
      <w:r>
        <w:rPr>
          <w:rFonts w:hint="eastAsia" w:eastAsia="仿宋_GB2312"/>
          <w:snapToGrid w:val="0"/>
          <w:kern w:val="0"/>
          <w:sz w:val="32"/>
          <w:szCs w:val="32"/>
        </w:rPr>
        <w:t>适用</w:t>
      </w:r>
      <w:r>
        <w:rPr>
          <w:rFonts w:eastAsia="仿宋_GB2312"/>
          <w:snapToGrid w:val="0"/>
          <w:kern w:val="0"/>
          <w:sz w:val="32"/>
          <w:szCs w:val="32"/>
        </w:rPr>
        <w:t>对象、继续教育内容</w:t>
      </w:r>
      <w:r>
        <w:rPr>
          <w:rFonts w:hint="eastAsia" w:eastAsia="仿宋_GB2312"/>
          <w:snapToGrid w:val="0"/>
          <w:kern w:val="0"/>
          <w:sz w:val="32"/>
          <w:szCs w:val="32"/>
        </w:rPr>
        <w:t>、</w:t>
      </w:r>
      <w:r>
        <w:rPr>
          <w:rFonts w:eastAsia="仿宋_GB2312"/>
          <w:snapToGrid w:val="0"/>
          <w:kern w:val="0"/>
          <w:sz w:val="32"/>
          <w:szCs w:val="32"/>
        </w:rPr>
        <w:t>组织实施</w:t>
      </w:r>
      <w:r>
        <w:rPr>
          <w:rFonts w:hint="eastAsia" w:eastAsia="仿宋_GB2312"/>
          <w:snapToGrid w:val="0"/>
          <w:kern w:val="0"/>
          <w:sz w:val="32"/>
          <w:szCs w:val="32"/>
        </w:rPr>
        <w:t>、</w:t>
      </w:r>
      <w:r>
        <w:rPr>
          <w:rFonts w:eastAsia="仿宋_GB2312"/>
          <w:snapToGrid w:val="0"/>
          <w:kern w:val="0"/>
          <w:sz w:val="32"/>
          <w:szCs w:val="32"/>
        </w:rPr>
        <w:t>学时管理</w:t>
      </w:r>
      <w:r>
        <w:rPr>
          <w:rFonts w:hint="eastAsia" w:eastAsia="仿宋_GB2312"/>
          <w:snapToGrid w:val="0"/>
          <w:kern w:val="0"/>
          <w:sz w:val="32"/>
          <w:szCs w:val="32"/>
        </w:rPr>
        <w:t>、</w:t>
      </w:r>
      <w:r>
        <w:rPr>
          <w:rFonts w:eastAsia="仿宋_GB2312"/>
          <w:snapToGrid w:val="0"/>
          <w:kern w:val="0"/>
          <w:sz w:val="32"/>
          <w:szCs w:val="32"/>
        </w:rPr>
        <w:t>学员管理</w:t>
      </w:r>
      <w:r>
        <w:rPr>
          <w:rFonts w:hint="eastAsia" w:eastAsia="仿宋_GB2312"/>
          <w:snapToGrid w:val="0"/>
          <w:kern w:val="0"/>
          <w:sz w:val="32"/>
          <w:szCs w:val="32"/>
        </w:rPr>
        <w:t>、</w:t>
      </w:r>
      <w:r>
        <w:rPr>
          <w:rFonts w:eastAsia="仿宋_GB2312"/>
          <w:snapToGrid w:val="0"/>
          <w:kern w:val="0"/>
          <w:sz w:val="32"/>
          <w:szCs w:val="32"/>
        </w:rPr>
        <w:t>条件保障</w:t>
      </w:r>
      <w:r>
        <w:rPr>
          <w:rFonts w:hint="eastAsia" w:eastAsia="仿宋_GB2312"/>
          <w:snapToGrid w:val="0"/>
          <w:kern w:val="0"/>
          <w:sz w:val="32"/>
          <w:szCs w:val="32"/>
        </w:rPr>
        <w:t>等</w:t>
      </w:r>
      <w:r>
        <w:rPr>
          <w:rFonts w:eastAsia="仿宋_GB2312"/>
          <w:snapToGrid w:val="0"/>
          <w:kern w:val="0"/>
          <w:sz w:val="32"/>
          <w:szCs w:val="32"/>
        </w:rPr>
        <w:t>内容。</w:t>
      </w:r>
      <w:r>
        <w:rPr>
          <w:rFonts w:hint="eastAsia" w:eastAsia="仿宋_GB2312"/>
          <w:snapToGrid w:val="0"/>
          <w:kern w:val="0"/>
          <w:sz w:val="32"/>
          <w:szCs w:val="32"/>
        </w:rPr>
        <w:t>现</w:t>
      </w:r>
      <w:r>
        <w:rPr>
          <w:rFonts w:eastAsia="仿宋_GB2312"/>
          <w:snapToGrid w:val="0"/>
          <w:kern w:val="0"/>
          <w:sz w:val="32"/>
          <w:szCs w:val="32"/>
        </w:rPr>
        <w:t>作以下解读：</w:t>
      </w:r>
    </w:p>
    <w:p>
      <w:pPr>
        <w:spacing w:line="560" w:lineRule="exact"/>
        <w:ind w:firstLine="640"/>
        <w:rPr>
          <w:rFonts w:eastAsia="仿宋_GB2312"/>
          <w:snapToGrid w:val="0"/>
          <w:kern w:val="0"/>
          <w:sz w:val="32"/>
          <w:szCs w:val="32"/>
        </w:rPr>
      </w:pPr>
      <w:r>
        <w:rPr>
          <w:rFonts w:hint="eastAsia" w:eastAsia="黑体"/>
          <w:snapToGrid w:val="0"/>
          <w:kern w:val="0"/>
          <w:sz w:val="32"/>
          <w:szCs w:val="32"/>
        </w:rPr>
        <w:t>一</w:t>
      </w:r>
      <w:r>
        <w:rPr>
          <w:rFonts w:eastAsia="黑体"/>
          <w:snapToGrid w:val="0"/>
          <w:kern w:val="0"/>
          <w:sz w:val="32"/>
          <w:szCs w:val="32"/>
        </w:rPr>
        <w:t>、适用对象</w:t>
      </w:r>
      <w:r>
        <w:rPr>
          <w:rFonts w:hint="eastAsia" w:eastAsia="黑体"/>
          <w:snapToGrid w:val="0"/>
          <w:kern w:val="0"/>
          <w:sz w:val="32"/>
          <w:szCs w:val="32"/>
        </w:rPr>
        <w:t>有哪些？</w:t>
      </w:r>
    </w:p>
    <w:p>
      <w:pPr>
        <w:spacing w:line="560" w:lineRule="exact"/>
        <w:ind w:firstLine="640"/>
        <w:rPr>
          <w:rFonts w:eastAsia="仿宋_GB2312"/>
          <w:snapToGrid w:val="0"/>
          <w:kern w:val="0"/>
          <w:sz w:val="32"/>
          <w:szCs w:val="32"/>
        </w:rPr>
      </w:pPr>
      <w:r>
        <w:rPr>
          <w:rFonts w:hint="eastAsia" w:eastAsia="仿宋_GB2312"/>
          <w:snapToGrid w:val="0"/>
          <w:kern w:val="0"/>
          <w:sz w:val="32"/>
          <w:szCs w:val="32"/>
        </w:rPr>
        <w:t>《</w:t>
      </w:r>
      <w:r>
        <w:rPr>
          <w:rFonts w:eastAsia="仿宋_GB2312"/>
          <w:snapToGrid w:val="0"/>
          <w:kern w:val="0"/>
          <w:sz w:val="32"/>
          <w:szCs w:val="32"/>
        </w:rPr>
        <w:t>实施意见</w:t>
      </w:r>
      <w:r>
        <w:rPr>
          <w:rFonts w:hint="eastAsia" w:eastAsia="仿宋_GB2312"/>
          <w:snapToGrid w:val="0"/>
          <w:kern w:val="0"/>
          <w:sz w:val="32"/>
          <w:szCs w:val="32"/>
        </w:rPr>
        <w:t>》</w:t>
      </w:r>
      <w:r>
        <w:rPr>
          <w:rFonts w:eastAsia="仿宋_GB2312"/>
          <w:snapToGrid w:val="0"/>
          <w:kern w:val="0"/>
          <w:sz w:val="32"/>
          <w:szCs w:val="32"/>
        </w:rPr>
        <w:t>适用于广州市中小学教师继续教育各环节的相关主体。</w:t>
      </w:r>
    </w:p>
    <w:p>
      <w:pPr>
        <w:spacing w:line="560" w:lineRule="exact"/>
        <w:ind w:firstLine="640"/>
        <w:rPr>
          <w:rFonts w:hint="eastAsia" w:eastAsia="仿宋_GB2312"/>
          <w:snapToGrid w:val="0"/>
          <w:kern w:val="0"/>
          <w:sz w:val="32"/>
          <w:szCs w:val="32"/>
          <w:lang w:val="en-US" w:eastAsia="zh-CN"/>
        </w:rPr>
      </w:pPr>
    </w:p>
    <w:p>
      <w:pPr>
        <w:adjustRightInd w:val="0"/>
        <w:snapToGrid w:val="0"/>
        <w:spacing w:line="560" w:lineRule="exact"/>
        <w:ind w:firstLine="645"/>
        <w:rPr>
          <w:rFonts w:hint="eastAsia" w:eastAsia="仿宋_GB2312"/>
          <w:snapToGrid w:val="0"/>
          <w:kern w:val="0"/>
          <w:sz w:val="32"/>
          <w:szCs w:val="32"/>
          <w:lang w:eastAsia="zh-CN"/>
        </w:rPr>
      </w:pPr>
      <w:r>
        <w:rPr>
          <w:rFonts w:hint="eastAsia" w:eastAsia="仿宋_GB2312"/>
          <w:snapToGrid w:val="0"/>
          <w:kern w:val="0"/>
          <w:sz w:val="32"/>
          <w:szCs w:val="32"/>
          <w:lang w:eastAsia="zh-CN"/>
        </w:rPr>
        <w:drawing>
          <wp:anchor distT="0" distB="0" distL="114300" distR="114300" simplePos="0" relativeHeight="251668480" behindDoc="0" locked="0" layoutInCell="1" allowOverlap="1">
            <wp:simplePos x="0" y="0"/>
            <wp:positionH relativeFrom="column">
              <wp:posOffset>-371475</wp:posOffset>
            </wp:positionH>
            <wp:positionV relativeFrom="paragraph">
              <wp:posOffset>-379730</wp:posOffset>
            </wp:positionV>
            <wp:extent cx="6793865" cy="3362325"/>
            <wp:effectExtent l="0" t="0" r="0" b="9525"/>
            <wp:wrapNone/>
            <wp:docPr id="2" name="图片 2" descr="1.适用对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适用对象"/>
                    <pic:cNvPicPr>
                      <a:picLocks noChangeAspect="1"/>
                    </pic:cNvPicPr>
                  </pic:nvPicPr>
                  <pic:blipFill>
                    <a:blip r:embed="rId6"/>
                    <a:stretch>
                      <a:fillRect/>
                    </a:stretch>
                  </pic:blipFill>
                  <pic:spPr>
                    <a:xfrm>
                      <a:off x="0" y="0"/>
                      <a:ext cx="6793865" cy="3362325"/>
                    </a:xfrm>
                    <a:prstGeom prst="rect">
                      <a:avLst/>
                    </a:prstGeom>
                  </pic:spPr>
                </pic:pic>
              </a:graphicData>
            </a:graphic>
          </wp:anchor>
        </w:drawing>
      </w:r>
    </w:p>
    <w:p>
      <w:pPr>
        <w:adjustRightInd w:val="0"/>
        <w:snapToGrid w:val="0"/>
        <w:spacing w:line="560" w:lineRule="exact"/>
        <w:rPr>
          <w:rFonts w:eastAsia="仿宋_GB2312"/>
          <w:snapToGrid w:val="0"/>
          <w:kern w:val="0"/>
          <w:sz w:val="32"/>
          <w:szCs w:val="32"/>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宋体"/>
          <w:color w:val="000000" w:themeColor="text1"/>
          <w:sz w:val="32"/>
          <w:szCs w:val="32"/>
          <w:lang w:eastAsia="zh-CN"/>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rPr>
          <w:rFonts w:hint="eastAsia" w:eastAsia="黑体"/>
          <w:snapToGrid w:val="0"/>
          <w:kern w:val="0"/>
          <w:sz w:val="32"/>
          <w:szCs w:val="32"/>
          <w:lang w:val="en-US" w:eastAsia="zh-CN"/>
        </w:rPr>
      </w:pPr>
    </w:p>
    <w:p>
      <w:pPr>
        <w:adjustRightInd w:val="0"/>
        <w:snapToGrid w:val="0"/>
        <w:spacing w:line="560" w:lineRule="exact"/>
        <w:rPr>
          <w:rFonts w:hint="eastAsia" w:eastAsia="黑体"/>
          <w:snapToGrid w:val="0"/>
          <w:kern w:val="0"/>
          <w:sz w:val="32"/>
          <w:szCs w:val="32"/>
          <w:lang w:val="en-US" w:eastAsia="zh-CN"/>
        </w:rPr>
      </w:pPr>
    </w:p>
    <w:p>
      <w:pPr>
        <w:adjustRightInd w:val="0"/>
        <w:snapToGrid w:val="0"/>
        <w:spacing w:line="560" w:lineRule="exact"/>
        <w:ind w:firstLine="640" w:firstLineChars="200"/>
        <w:rPr>
          <w:rFonts w:hint="eastAsia" w:eastAsia="黑体"/>
          <w:snapToGrid w:val="0"/>
          <w:kern w:val="0"/>
          <w:sz w:val="32"/>
          <w:szCs w:val="32"/>
          <w:lang w:val="en-US" w:eastAsia="zh-CN"/>
        </w:rPr>
      </w:pPr>
    </w:p>
    <w:p>
      <w:pPr>
        <w:adjustRightInd w:val="0"/>
        <w:snapToGrid w:val="0"/>
        <w:spacing w:line="560" w:lineRule="exact"/>
        <w:ind w:firstLine="640" w:firstLineChars="200"/>
        <w:rPr>
          <w:rFonts w:hint="default" w:eastAsia="仿宋_GB2312"/>
          <w:color w:val="000000" w:themeColor="text1"/>
          <w:sz w:val="32"/>
          <w:szCs w:val="32"/>
          <w:lang w:val="en-US" w:eastAsia="zh-CN"/>
          <w14:textFill>
            <w14:solidFill>
              <w14:schemeClr w14:val="tx1"/>
            </w14:solidFill>
          </w14:textFill>
        </w:rPr>
      </w:pPr>
      <w:r>
        <w:rPr>
          <w:rFonts w:hint="eastAsia" w:eastAsia="黑体"/>
          <w:snapToGrid w:val="0"/>
          <w:kern w:val="0"/>
          <w:sz w:val="32"/>
          <w:szCs w:val="32"/>
          <w:lang w:val="en-US" w:eastAsia="zh-CN"/>
        </w:rPr>
        <w:t>二、主要特点是什么？</w:t>
      </w:r>
    </w:p>
    <w:p>
      <w:pPr>
        <w:adjustRightInd w:val="0"/>
        <w:snapToGrid w:val="0"/>
        <w:spacing w:line="560" w:lineRule="exact"/>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-60325</wp:posOffset>
            </wp:positionH>
            <wp:positionV relativeFrom="paragraph">
              <wp:posOffset>217805</wp:posOffset>
            </wp:positionV>
            <wp:extent cx="5799455" cy="2605405"/>
            <wp:effectExtent l="0" t="0" r="0" b="4445"/>
            <wp:wrapNone/>
            <wp:docPr id="1" name="图片 1" descr="二（一）主要特点配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一）主要特点配图（2）"/>
                    <pic:cNvPicPr>
                      <a:picLocks noChangeAspect="1"/>
                    </pic:cNvPicPr>
                  </pic:nvPicPr>
                  <pic:blipFill>
                    <a:blip r:embed="rId7"/>
                    <a:stretch>
                      <a:fillRect/>
                    </a:stretch>
                  </pic:blipFill>
                  <pic:spPr>
                    <a:xfrm>
                      <a:off x="0" y="0"/>
                      <a:ext cx="5799455" cy="2605405"/>
                    </a:xfrm>
                    <a:prstGeom prst="rect">
                      <a:avLst/>
                    </a:prstGeom>
                  </pic:spPr>
                </pic:pic>
              </a:graphicData>
            </a:graphic>
          </wp:anchor>
        </w:drawing>
      </w: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lang w:eastAsia="zh-CN"/>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lang w:eastAsia="zh-CN"/>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215900</wp:posOffset>
            </wp:positionH>
            <wp:positionV relativeFrom="paragraph">
              <wp:posOffset>297815</wp:posOffset>
            </wp:positionV>
            <wp:extent cx="5891530" cy="3294380"/>
            <wp:effectExtent l="0" t="0" r="13970" b="1270"/>
            <wp:wrapNone/>
            <wp:docPr id="32" name="图片 32" descr="（二）-（四）主要特点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二）-（四）主要特点配图"/>
                    <pic:cNvPicPr>
                      <a:picLocks noChangeAspect="1"/>
                    </pic:cNvPicPr>
                  </pic:nvPicPr>
                  <pic:blipFill>
                    <a:blip r:embed="rId8"/>
                    <a:stretch>
                      <a:fillRect/>
                    </a:stretch>
                  </pic:blipFill>
                  <pic:spPr>
                    <a:xfrm>
                      <a:off x="0" y="0"/>
                      <a:ext cx="5891530" cy="3294380"/>
                    </a:xfrm>
                    <a:prstGeom prst="rect">
                      <a:avLst/>
                    </a:prstGeom>
                  </pic:spPr>
                </pic:pic>
              </a:graphicData>
            </a:graphic>
          </wp:anchor>
        </w:drawing>
      </w: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lang w:eastAsia="zh-CN"/>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lang w:eastAsia="zh-CN"/>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adjustRightInd w:val="0"/>
        <w:snapToGrid w:val="0"/>
        <w:spacing w:line="560" w:lineRule="exact"/>
        <w:ind w:firstLine="640" w:firstLineChars="200"/>
        <w:rPr>
          <w:rFonts w:hint="eastAsia" w:eastAsia="仿宋_GB2312"/>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29" w:leftChars="0" w:firstLine="640" w:firstLineChars="200"/>
        <w:textAlignment w:val="auto"/>
        <w:rPr>
          <w:rFonts w:eastAsia="仿宋_GB2312"/>
          <w:snapToGrid w:val="0"/>
          <w:kern w:val="0"/>
          <w:sz w:val="32"/>
          <w:szCs w:val="32"/>
        </w:rPr>
      </w:pPr>
      <w:r>
        <w:rPr>
          <w:rFonts w:hint="eastAsia" w:eastAsia="黑体"/>
          <w:snapToGrid w:val="0"/>
          <w:kern w:val="0"/>
          <w:sz w:val="32"/>
          <w:szCs w:val="32"/>
          <w:lang w:eastAsia="zh-CN"/>
        </w:rPr>
        <w:t>三、</w:t>
      </w:r>
      <w:r>
        <w:rPr>
          <w:rFonts w:eastAsia="黑体"/>
          <w:snapToGrid w:val="0"/>
          <w:kern w:val="0"/>
          <w:sz w:val="32"/>
          <w:szCs w:val="32"/>
        </w:rPr>
        <w:t>继续教育内容</w:t>
      </w:r>
      <w:r>
        <w:rPr>
          <w:rFonts w:hint="eastAsia" w:eastAsia="黑体"/>
          <w:snapToGrid w:val="0"/>
          <w:kern w:val="0"/>
          <w:sz w:val="32"/>
          <w:szCs w:val="32"/>
        </w:rPr>
        <w:t>主要包含什么</w:t>
      </w:r>
      <w:r>
        <w:rPr>
          <w:rFonts w:eastAsia="黑体"/>
          <w:snapToGrid w:val="0"/>
          <w:kern w:val="0"/>
          <w:sz w:val="32"/>
          <w:szCs w:val="32"/>
        </w:rPr>
        <w:t>？</w:t>
      </w:r>
      <w:r>
        <w:rPr>
          <w:rFonts w:eastAsia="仿宋_GB2312"/>
          <w:snapToGrid w:val="0"/>
          <w:kern w:val="0"/>
          <w:sz w:val="32"/>
          <w:szCs w:val="32"/>
        </w:rPr>
        <w:t>思想政治教育和师德修养、专业知识更新与扩展、现代教育理论与实践、教育科学研究、教育教学技能训练和现代教育技术、现代科技与人文社会科学知识等，分为公需科目、专业科目和个人选修科目三类。</w:t>
      </w:r>
    </w:p>
    <w:p>
      <w:pPr>
        <w:widowControl w:val="0"/>
        <w:numPr>
          <w:ilvl w:val="0"/>
          <w:numId w:val="0"/>
        </w:numPr>
        <w:spacing w:line="560" w:lineRule="exact"/>
        <w:jc w:val="both"/>
        <w:rPr>
          <w:rFonts w:hint="eastAsia" w:eastAsia="仿宋_GB2312"/>
          <w:snapToGrid w:val="0"/>
          <w:kern w:val="0"/>
          <w:sz w:val="32"/>
          <w:szCs w:val="32"/>
          <w:lang w:eastAsia="zh-CN"/>
        </w:rPr>
      </w:pPr>
    </w:p>
    <w:p>
      <w:pPr>
        <w:adjustRightInd w:val="0"/>
        <w:snapToGrid w:val="0"/>
        <w:spacing w:line="560" w:lineRule="exact"/>
        <w:ind w:firstLine="645"/>
        <w:rPr>
          <w:rFonts w:hint="eastAsia" w:eastAsia="黑体"/>
          <w:snapToGrid w:val="0"/>
          <w:kern w:val="0"/>
          <w:sz w:val="32"/>
          <w:szCs w:val="32"/>
          <w:lang w:eastAsia="zh-CN"/>
        </w:rPr>
      </w:pPr>
    </w:p>
    <w:p>
      <w:pPr>
        <w:adjustRightInd w:val="0"/>
        <w:snapToGrid w:val="0"/>
        <w:spacing w:line="560" w:lineRule="exact"/>
        <w:ind w:firstLine="645"/>
        <w:rPr>
          <w:rFonts w:hint="eastAsia" w:eastAsia="黑体"/>
          <w:snapToGrid w:val="0"/>
          <w:kern w:val="0"/>
          <w:sz w:val="32"/>
          <w:szCs w:val="32"/>
          <w:lang w:eastAsia="zh-CN"/>
        </w:rPr>
      </w:pPr>
      <w:r>
        <w:rPr>
          <w:rFonts w:hint="eastAsia" w:eastAsia="黑体"/>
          <w:snapToGrid w:val="0"/>
          <w:kern w:val="0"/>
          <w:sz w:val="32"/>
          <w:szCs w:val="32"/>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-382905</wp:posOffset>
            </wp:positionV>
            <wp:extent cx="5608320" cy="2776220"/>
            <wp:effectExtent l="0" t="0" r="11430" b="5080"/>
            <wp:wrapNone/>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9"/>
                    <a:stretch>
                      <a:fillRect/>
                    </a:stretch>
                  </pic:blipFill>
                  <pic:spPr>
                    <a:xfrm>
                      <a:off x="0" y="0"/>
                      <a:ext cx="5608320" cy="2776220"/>
                    </a:xfrm>
                    <a:prstGeom prst="rect">
                      <a:avLst/>
                    </a:prstGeom>
                  </pic:spPr>
                </pic:pic>
              </a:graphicData>
            </a:graphic>
          </wp:anchor>
        </w:drawing>
      </w:r>
    </w:p>
    <w:p>
      <w:pPr>
        <w:adjustRightInd w:val="0"/>
        <w:snapToGrid w:val="0"/>
        <w:spacing w:line="560" w:lineRule="exact"/>
        <w:ind w:firstLine="645"/>
        <w:rPr>
          <w:rFonts w:hint="eastAsia" w:eastAsia="黑体"/>
          <w:snapToGrid w:val="0"/>
          <w:kern w:val="0"/>
          <w:sz w:val="32"/>
          <w:szCs w:val="32"/>
        </w:rPr>
      </w:pPr>
    </w:p>
    <w:p>
      <w:pPr>
        <w:adjustRightInd w:val="0"/>
        <w:snapToGrid w:val="0"/>
        <w:spacing w:line="560" w:lineRule="exact"/>
        <w:ind w:firstLine="645"/>
        <w:rPr>
          <w:rFonts w:hint="eastAsia" w:eastAsia="黑体"/>
          <w:snapToGrid w:val="0"/>
          <w:kern w:val="0"/>
          <w:sz w:val="32"/>
          <w:szCs w:val="32"/>
        </w:rPr>
      </w:pPr>
    </w:p>
    <w:p>
      <w:pPr>
        <w:adjustRightInd w:val="0"/>
        <w:snapToGrid w:val="0"/>
        <w:spacing w:line="560" w:lineRule="exact"/>
        <w:ind w:firstLine="645"/>
        <w:rPr>
          <w:rFonts w:hint="eastAsia" w:eastAsia="黑体"/>
          <w:snapToGrid w:val="0"/>
          <w:kern w:val="0"/>
          <w:sz w:val="32"/>
          <w:szCs w:val="32"/>
        </w:rPr>
      </w:pPr>
    </w:p>
    <w:p>
      <w:pPr>
        <w:adjustRightInd w:val="0"/>
        <w:snapToGrid w:val="0"/>
        <w:spacing w:line="560" w:lineRule="exact"/>
        <w:ind w:firstLine="645"/>
        <w:rPr>
          <w:rFonts w:hint="eastAsia" w:eastAsia="黑体"/>
          <w:snapToGrid w:val="0"/>
          <w:kern w:val="0"/>
          <w:sz w:val="32"/>
          <w:szCs w:val="32"/>
        </w:rPr>
      </w:pPr>
    </w:p>
    <w:p>
      <w:pPr>
        <w:adjustRightInd w:val="0"/>
        <w:snapToGrid w:val="0"/>
        <w:spacing w:line="560" w:lineRule="exact"/>
        <w:rPr>
          <w:rFonts w:hint="eastAsia" w:eastAsia="黑体"/>
          <w:snapToGrid w:val="0"/>
          <w:kern w:val="0"/>
          <w:sz w:val="32"/>
          <w:szCs w:val="32"/>
        </w:rPr>
      </w:pPr>
    </w:p>
    <w:p>
      <w:pPr>
        <w:adjustRightInd w:val="0"/>
        <w:snapToGrid w:val="0"/>
        <w:spacing w:line="560" w:lineRule="exact"/>
        <w:rPr>
          <w:rFonts w:hint="eastAsia" w:eastAsia="黑体"/>
          <w:snapToGrid w:val="0"/>
          <w:kern w:val="0"/>
          <w:sz w:val="32"/>
          <w:szCs w:val="32"/>
        </w:rPr>
      </w:pPr>
    </w:p>
    <w:p>
      <w:pPr>
        <w:adjustRightInd w:val="0"/>
        <w:snapToGrid w:val="0"/>
        <w:spacing w:line="560" w:lineRule="exact"/>
        <w:ind w:firstLine="645"/>
        <w:rPr>
          <w:rFonts w:eastAsia="仿宋_GB2312"/>
          <w:snapToGrid w:val="0"/>
          <w:kern w:val="0"/>
          <w:sz w:val="32"/>
          <w:szCs w:val="32"/>
        </w:rPr>
      </w:pPr>
      <w:r>
        <w:rPr>
          <w:rFonts w:hint="eastAsia" w:eastAsia="黑体"/>
          <w:snapToGrid w:val="0"/>
          <w:kern w:val="0"/>
          <w:sz w:val="32"/>
          <w:szCs w:val="32"/>
        </w:rPr>
        <w:t>四</w:t>
      </w:r>
      <w:r>
        <w:rPr>
          <w:rFonts w:eastAsia="黑体"/>
          <w:snapToGrid w:val="0"/>
          <w:kern w:val="0"/>
          <w:sz w:val="32"/>
          <w:szCs w:val="32"/>
        </w:rPr>
        <w:t>、</w:t>
      </w:r>
      <w:r>
        <w:rPr>
          <w:rFonts w:hint="eastAsia" w:eastAsia="黑体"/>
          <w:snapToGrid w:val="0"/>
          <w:kern w:val="0"/>
          <w:sz w:val="32"/>
          <w:szCs w:val="32"/>
        </w:rPr>
        <w:t>如何</w:t>
      </w:r>
      <w:r>
        <w:rPr>
          <w:rFonts w:eastAsia="黑体"/>
          <w:snapToGrid w:val="0"/>
          <w:kern w:val="0"/>
          <w:sz w:val="32"/>
          <w:szCs w:val="32"/>
        </w:rPr>
        <w:t>组织实施</w:t>
      </w:r>
      <w:r>
        <w:rPr>
          <w:rFonts w:hint="eastAsia" w:eastAsia="黑体"/>
          <w:snapToGrid w:val="0"/>
          <w:kern w:val="0"/>
          <w:sz w:val="32"/>
          <w:szCs w:val="32"/>
        </w:rPr>
        <w:t>？</w:t>
      </w:r>
    </w:p>
    <w:p>
      <w:pPr>
        <w:spacing w:line="560" w:lineRule="exact"/>
        <w:ind w:firstLine="640"/>
        <w:rPr>
          <w:rFonts w:eastAsia="黑体"/>
          <w:snapToGrid w:val="0"/>
          <w:kern w:val="0"/>
          <w:sz w:val="32"/>
          <w:szCs w:val="32"/>
        </w:rPr>
      </w:pPr>
      <w:r>
        <w:rPr>
          <w:rFonts w:eastAsia="仿宋_GB2312"/>
          <w:snapToGrid w:val="0"/>
          <w:kern w:val="0"/>
          <w:sz w:val="32"/>
          <w:szCs w:val="32"/>
        </w:rPr>
        <w:t>按市、区、校三级进行组织管理和实施。</w:t>
      </w:r>
    </w:p>
    <w:p>
      <w:pPr>
        <w:adjustRightInd w:val="0"/>
        <w:snapToGrid w:val="0"/>
        <w:spacing w:line="560" w:lineRule="exact"/>
        <w:ind w:firstLine="645"/>
        <w:rPr>
          <w:rFonts w:eastAsia="仿宋_GB2312"/>
          <w:strike/>
          <w:snapToGrid w:val="0"/>
          <w:kern w:val="0"/>
          <w:sz w:val="32"/>
          <w:szCs w:val="32"/>
        </w:rPr>
      </w:pPr>
      <w:r>
        <w:rPr>
          <w:rFonts w:eastAsia="仿宋_GB2312"/>
          <w:snapToGrid w:val="0"/>
          <w:kern w:val="0"/>
          <w:sz w:val="32"/>
          <w:szCs w:val="32"/>
        </w:rPr>
        <w:t>（一）</w:t>
      </w:r>
      <w:r>
        <w:rPr>
          <w:rFonts w:eastAsia="仿宋_GB2312"/>
          <w:b/>
          <w:bCs/>
          <w:snapToGrid w:val="0"/>
          <w:kern w:val="0"/>
          <w:sz w:val="32"/>
          <w:szCs w:val="32"/>
        </w:rPr>
        <w:t>市教育局</w:t>
      </w:r>
      <w:r>
        <w:rPr>
          <w:rFonts w:eastAsia="仿宋_GB2312"/>
          <w:snapToGrid w:val="0"/>
          <w:kern w:val="0"/>
          <w:sz w:val="32"/>
          <w:szCs w:val="32"/>
        </w:rPr>
        <w:t>负责全市教师继续教育工作的统筹规划</w:t>
      </w:r>
      <w:r>
        <w:rPr>
          <w:rFonts w:hint="eastAsia" w:eastAsia="仿宋_GB2312"/>
          <w:snapToGrid w:val="0"/>
          <w:kern w:val="0"/>
          <w:sz w:val="32"/>
          <w:szCs w:val="32"/>
        </w:rPr>
        <w:t>。</w:t>
      </w:r>
      <w:r>
        <w:rPr>
          <w:rFonts w:eastAsia="仿宋_GB2312"/>
          <w:b/>
          <w:bCs/>
          <w:snapToGrid w:val="0"/>
          <w:kern w:val="0"/>
          <w:sz w:val="32"/>
          <w:szCs w:val="32"/>
        </w:rPr>
        <w:t>市教育评估和教师继续教育指导中心</w:t>
      </w:r>
      <w:r>
        <w:rPr>
          <w:rFonts w:eastAsia="仿宋_GB2312"/>
          <w:snapToGrid w:val="0"/>
          <w:kern w:val="0"/>
          <w:sz w:val="32"/>
          <w:szCs w:val="32"/>
        </w:rPr>
        <w:t>负责具体规划、指导和监督全市中小学教师继续教育工作</w:t>
      </w:r>
      <w:r>
        <w:rPr>
          <w:rFonts w:hint="eastAsia" w:eastAsia="仿宋_GB2312"/>
          <w:snapToGrid w:val="0"/>
          <w:kern w:val="0"/>
          <w:sz w:val="32"/>
          <w:szCs w:val="32"/>
        </w:rPr>
        <w:t>，系统设计并组织市级培训项目、确立实施主体、监控培训过程、实施绩效评价、确保培训质量</w:t>
      </w:r>
      <w:r>
        <w:rPr>
          <w:rFonts w:eastAsia="仿宋_GB2312"/>
          <w:snapToGrid w:val="0"/>
          <w:kern w:val="0"/>
          <w:sz w:val="32"/>
          <w:szCs w:val="32"/>
        </w:rPr>
        <w:t>。</w:t>
      </w:r>
    </w:p>
    <w:p>
      <w:pPr>
        <w:adjustRightInd w:val="0"/>
        <w:snapToGrid w:val="0"/>
        <w:spacing w:line="560" w:lineRule="exact"/>
        <w:ind w:firstLine="645"/>
        <w:rPr>
          <w:rFonts w:eastAsia="仿宋_GB2312"/>
          <w:snapToGrid w:val="0"/>
          <w:kern w:val="0"/>
          <w:sz w:val="32"/>
          <w:szCs w:val="32"/>
        </w:rPr>
      </w:pPr>
      <w:r>
        <w:rPr>
          <w:rFonts w:eastAsia="仿宋_GB2312"/>
          <w:b/>
          <w:bCs/>
          <w:snapToGrid w:val="0"/>
          <w:kern w:val="0"/>
          <w:sz w:val="32"/>
          <w:szCs w:val="32"/>
        </w:rPr>
        <w:t>市级教师发展中心</w:t>
      </w:r>
      <w:r>
        <w:rPr>
          <w:rFonts w:eastAsia="仿宋_GB2312"/>
          <w:snapToGrid w:val="0"/>
          <w:kern w:val="0"/>
          <w:sz w:val="32"/>
          <w:szCs w:val="32"/>
        </w:rPr>
        <w:t>按照职能分工和市教育行政部门要求，组织开展专任教师、教育管理干部</w:t>
      </w:r>
      <w:r>
        <w:rPr>
          <w:rFonts w:hint="eastAsia" w:eastAsia="仿宋_GB2312"/>
          <w:snapToGrid w:val="0"/>
          <w:kern w:val="0"/>
          <w:sz w:val="32"/>
          <w:szCs w:val="32"/>
        </w:rPr>
        <w:t>（含</w:t>
      </w:r>
      <w:r>
        <w:rPr>
          <w:rFonts w:eastAsia="仿宋_GB2312"/>
          <w:snapToGrid w:val="0"/>
          <w:kern w:val="0"/>
          <w:sz w:val="32"/>
          <w:szCs w:val="32"/>
        </w:rPr>
        <w:t>党组织书记</w:t>
      </w:r>
      <w:r>
        <w:rPr>
          <w:rFonts w:hint="eastAsia" w:eastAsia="仿宋_GB2312"/>
          <w:snapToGrid w:val="0"/>
          <w:kern w:val="0"/>
          <w:sz w:val="32"/>
          <w:szCs w:val="32"/>
        </w:rPr>
        <w:t>）</w:t>
      </w:r>
      <w:r>
        <w:rPr>
          <w:rFonts w:eastAsia="仿宋_GB2312"/>
          <w:snapToGrid w:val="0"/>
          <w:kern w:val="0"/>
          <w:sz w:val="32"/>
          <w:szCs w:val="32"/>
        </w:rPr>
        <w:t>和研训人员的全员培训、</w:t>
      </w:r>
      <w:r>
        <w:rPr>
          <w:rFonts w:hint="eastAsia" w:eastAsia="仿宋_GB2312"/>
          <w:snapToGrid w:val="0"/>
          <w:kern w:val="0"/>
          <w:sz w:val="32"/>
          <w:szCs w:val="32"/>
        </w:rPr>
        <w:t>市级</w:t>
      </w:r>
      <w:r>
        <w:rPr>
          <w:rFonts w:eastAsia="仿宋_GB2312"/>
          <w:snapToGrid w:val="0"/>
          <w:kern w:val="0"/>
          <w:sz w:val="32"/>
          <w:szCs w:val="32"/>
        </w:rPr>
        <w:t>专项培训工作，承担</w:t>
      </w:r>
      <w:r>
        <w:rPr>
          <w:rFonts w:hint="eastAsia" w:eastAsia="仿宋_GB2312"/>
          <w:snapToGrid w:val="0"/>
          <w:kern w:val="0"/>
          <w:sz w:val="32"/>
          <w:szCs w:val="32"/>
        </w:rPr>
        <w:t>教育</w:t>
      </w:r>
      <w:r>
        <w:rPr>
          <w:rFonts w:eastAsia="仿宋_GB2312"/>
          <w:snapToGrid w:val="0"/>
          <w:kern w:val="0"/>
          <w:sz w:val="32"/>
          <w:szCs w:val="32"/>
        </w:rPr>
        <w:t>专家、名校（园）长</w:t>
      </w:r>
      <w:r>
        <w:rPr>
          <w:rFonts w:hint="eastAsia" w:eastAsia="仿宋_GB2312"/>
          <w:snapToGrid w:val="0"/>
          <w:kern w:val="0"/>
          <w:sz w:val="32"/>
          <w:szCs w:val="32"/>
        </w:rPr>
        <w:t>、</w:t>
      </w:r>
      <w:r>
        <w:rPr>
          <w:rFonts w:eastAsia="仿宋_GB2312"/>
          <w:snapToGrid w:val="0"/>
          <w:kern w:val="0"/>
          <w:sz w:val="32"/>
          <w:szCs w:val="32"/>
        </w:rPr>
        <w:t>名教师工作室、教师发展学校的</w:t>
      </w:r>
      <w:r>
        <w:rPr>
          <w:rFonts w:hint="eastAsia" w:eastAsia="仿宋_GB2312"/>
          <w:snapToGrid w:val="0"/>
          <w:kern w:val="0"/>
          <w:sz w:val="32"/>
          <w:szCs w:val="32"/>
        </w:rPr>
        <w:t>管理</w:t>
      </w:r>
      <w:r>
        <w:rPr>
          <w:rFonts w:eastAsia="仿宋_GB2312"/>
          <w:snapToGrid w:val="0"/>
          <w:kern w:val="0"/>
          <w:sz w:val="32"/>
          <w:szCs w:val="32"/>
        </w:rPr>
        <w:t>指导工作，加强对区级教师发展中心的指导</w:t>
      </w:r>
      <w:r>
        <w:rPr>
          <w:rFonts w:hint="eastAsia" w:eastAsia="仿宋_GB2312"/>
          <w:snapToGrid w:val="0"/>
          <w:kern w:val="0"/>
          <w:sz w:val="32"/>
          <w:szCs w:val="32"/>
        </w:rPr>
        <w:t>，</w:t>
      </w:r>
      <w:r>
        <w:rPr>
          <w:rFonts w:eastAsia="仿宋_GB2312"/>
          <w:snapToGrid w:val="0"/>
          <w:kern w:val="0"/>
          <w:sz w:val="32"/>
          <w:szCs w:val="32"/>
        </w:rPr>
        <w:t>开展教师专业发展研究及成果推广。</w:t>
      </w: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hint="eastAsia" w:eastAsia="仿宋_GB2312"/>
          <w:snapToGrid w:val="0"/>
          <w:kern w:val="0"/>
          <w:sz w:val="32"/>
          <w:szCs w:val="32"/>
          <w:lang w:eastAsia="zh-CN"/>
        </w:rPr>
      </w:pPr>
      <w:r>
        <w:rPr>
          <w:rFonts w:hint="eastAsia" w:eastAsia="仿宋_GB2312"/>
          <w:snapToGrid w:val="0"/>
          <w:kern w:val="0"/>
          <w:sz w:val="32"/>
          <w:szCs w:val="32"/>
          <w:lang w:eastAsia="zh-CN"/>
        </w:rPr>
        <w:drawing>
          <wp:anchor distT="0" distB="0" distL="114300" distR="114300" simplePos="0" relativeHeight="251660288" behindDoc="0" locked="0" layoutInCell="1" allowOverlap="1">
            <wp:simplePos x="0" y="0"/>
            <wp:positionH relativeFrom="column">
              <wp:posOffset>219075</wp:posOffset>
            </wp:positionH>
            <wp:positionV relativeFrom="paragraph">
              <wp:posOffset>-217805</wp:posOffset>
            </wp:positionV>
            <wp:extent cx="5612130" cy="2855595"/>
            <wp:effectExtent l="0" t="0" r="7620" b="1905"/>
            <wp:wrapNone/>
            <wp:docPr id="21" name="图片 2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7"/>
                    <pic:cNvPicPr>
                      <a:picLocks noChangeAspect="1"/>
                    </pic:cNvPicPr>
                  </pic:nvPicPr>
                  <pic:blipFill>
                    <a:blip r:embed="rId10"/>
                    <a:stretch>
                      <a:fillRect/>
                    </a:stretch>
                  </pic:blipFill>
                  <pic:spPr>
                    <a:xfrm>
                      <a:off x="0" y="0"/>
                      <a:ext cx="5612130" cy="2855595"/>
                    </a:xfrm>
                    <a:prstGeom prst="rect">
                      <a:avLst/>
                    </a:prstGeom>
                  </pic:spPr>
                </pic:pic>
              </a:graphicData>
            </a:graphic>
          </wp:anchor>
        </w:drawing>
      </w: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hint="eastAsia" w:eastAsia="仿宋_GB2312"/>
          <w:snapToGrid w:val="0"/>
          <w:kern w:val="0"/>
          <w:sz w:val="32"/>
          <w:szCs w:val="32"/>
          <w:lang w:eastAsia="zh-CN"/>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p>
    <w:p>
      <w:pPr>
        <w:adjustRightInd w:val="0"/>
        <w:snapToGrid w:val="0"/>
        <w:spacing w:line="560" w:lineRule="exact"/>
        <w:ind w:firstLine="645"/>
        <w:rPr>
          <w:rFonts w:eastAsia="仿宋_GB2312"/>
          <w:snapToGrid w:val="0"/>
          <w:kern w:val="0"/>
          <w:sz w:val="32"/>
          <w:szCs w:val="32"/>
        </w:rPr>
      </w:pPr>
      <w:r>
        <w:rPr>
          <w:rFonts w:eastAsia="仿宋_GB2312"/>
          <w:snapToGrid w:val="0"/>
          <w:kern w:val="0"/>
          <w:sz w:val="32"/>
          <w:szCs w:val="32"/>
        </w:rPr>
        <w:t>（二）</w:t>
      </w:r>
      <w:r>
        <w:rPr>
          <w:rFonts w:eastAsia="仿宋_GB2312"/>
          <w:b/>
          <w:snapToGrid w:val="0"/>
          <w:kern w:val="0"/>
          <w:sz w:val="32"/>
          <w:szCs w:val="32"/>
        </w:rPr>
        <w:t>区级教育行政部门</w:t>
      </w:r>
      <w:r>
        <w:rPr>
          <w:rFonts w:eastAsia="仿宋_GB2312"/>
          <w:snapToGrid w:val="0"/>
          <w:kern w:val="0"/>
          <w:sz w:val="32"/>
          <w:szCs w:val="32"/>
        </w:rPr>
        <w:t>负责按照市的统一部署规划，结合本区中小学教师实际情况，加强教师继续教育工作的领导和管理，指导区级教师发展中心做好区域内教师继续教育工作的研究规划、组织实施、咨询评估等，制定适合本区实情的校本研修管理规定，对校本研修实施统筹管理。</w:t>
      </w:r>
    </w:p>
    <w:p>
      <w:pPr>
        <w:adjustRightInd w:val="0"/>
        <w:snapToGrid w:val="0"/>
        <w:spacing w:line="560" w:lineRule="exact"/>
        <w:ind w:firstLine="646"/>
        <w:rPr>
          <w:rFonts w:eastAsia="仿宋_GB2312"/>
          <w:snapToGrid w:val="0"/>
          <w:kern w:val="0"/>
          <w:sz w:val="32"/>
          <w:szCs w:val="32"/>
        </w:rPr>
      </w:pPr>
      <w:r>
        <w:rPr>
          <w:rFonts w:eastAsia="仿宋_GB2312"/>
          <w:b/>
          <w:snapToGrid w:val="0"/>
          <w:kern w:val="0"/>
          <w:sz w:val="32"/>
          <w:szCs w:val="32"/>
        </w:rPr>
        <w:t>区级教师发展中心</w:t>
      </w:r>
      <w:r>
        <w:rPr>
          <w:rFonts w:eastAsia="仿宋_GB2312"/>
          <w:snapToGrid w:val="0"/>
          <w:kern w:val="0"/>
          <w:sz w:val="32"/>
          <w:szCs w:val="32"/>
        </w:rPr>
        <w:t>做好教师专业化发展规划设计，落实区域内教师全员培训任务，加强民办学校教师</w:t>
      </w:r>
      <w:r>
        <w:rPr>
          <w:rFonts w:hint="eastAsia" w:eastAsia="仿宋_GB2312"/>
          <w:snapToGrid w:val="0"/>
          <w:kern w:val="0"/>
          <w:sz w:val="32"/>
          <w:szCs w:val="32"/>
        </w:rPr>
        <w:t>培训，</w:t>
      </w:r>
      <w:r>
        <w:rPr>
          <w:rFonts w:eastAsia="仿宋_GB2312"/>
          <w:snapToGrid w:val="0"/>
          <w:kern w:val="0"/>
          <w:sz w:val="32"/>
          <w:szCs w:val="32"/>
        </w:rPr>
        <w:t>开展小学校长和幼儿园园长任职资格培训、提高培训、高级研修和专题研修，开展区域内骨干教师、学科带头人和幼儿园教师、义务教育阶段教师的培训，加强校本研修和教师发展学校建设的管理和指导，做好高水平教育人才的储备，落实教师专业发展阶段的区级培训任务，开展教师专业发展研究及成果推广。</w:t>
      </w:r>
    </w:p>
    <w:p>
      <w:pPr>
        <w:spacing w:line="560" w:lineRule="exact"/>
        <w:ind w:firstLine="640"/>
        <w:rPr>
          <w:rFonts w:eastAsia="仿宋_GB2312"/>
          <w:snapToGrid w:val="0"/>
          <w:kern w:val="0"/>
          <w:sz w:val="32"/>
          <w:szCs w:val="32"/>
        </w:rPr>
      </w:pPr>
      <w:r>
        <w:rPr>
          <w:rFonts w:eastAsia="仿宋_GB2312"/>
          <w:snapToGrid w:val="0"/>
          <w:kern w:val="0"/>
          <w:sz w:val="32"/>
          <w:szCs w:val="32"/>
        </w:rPr>
        <w:t>（三）</w:t>
      </w:r>
      <w:r>
        <w:rPr>
          <w:rFonts w:eastAsia="仿宋_GB2312"/>
          <w:b/>
          <w:snapToGrid w:val="0"/>
          <w:kern w:val="0"/>
          <w:sz w:val="32"/>
          <w:szCs w:val="32"/>
        </w:rPr>
        <w:t>中小学校</w:t>
      </w:r>
      <w:bookmarkStart w:id="0" w:name="OLE_LINK16"/>
      <w:bookmarkStart w:id="1" w:name="OLE_LINK15"/>
      <w:r>
        <w:rPr>
          <w:rFonts w:eastAsia="仿宋_GB2312"/>
          <w:snapToGrid w:val="0"/>
          <w:kern w:val="0"/>
          <w:sz w:val="32"/>
          <w:szCs w:val="32"/>
        </w:rPr>
        <w:t>（含中职、幼儿园）</w:t>
      </w:r>
      <w:bookmarkEnd w:id="0"/>
      <w:bookmarkEnd w:id="1"/>
      <w:r>
        <w:rPr>
          <w:rFonts w:eastAsia="仿宋_GB2312"/>
          <w:snapToGrid w:val="0"/>
          <w:kern w:val="0"/>
          <w:sz w:val="32"/>
          <w:szCs w:val="32"/>
        </w:rPr>
        <w:t>负责统筹本校教师队伍继续教育工作。校长是学校教师继续教育第一责任人，负责本校教师培训的规划，科学实施校本研修，为教师在教育教学工作过程中的专业能力提升创设条件、做好保障。各学校落实教师校本培训任务，落实教师专业发展阶段的校级培训任务。各学校继续教育管理员要做好“广州市中小学教师继续教育网http://www.gzteacher.com/”（以下简称“广州继教网”）新教师入库、教师调动、教师退休、教师退出等基础信息数据维护，</w:t>
      </w:r>
      <w:r>
        <w:rPr>
          <w:rFonts w:eastAsia="仿宋_GB2312"/>
          <w:b/>
          <w:snapToGrid w:val="0"/>
          <w:kern w:val="0"/>
          <w:sz w:val="32"/>
          <w:szCs w:val="32"/>
        </w:rPr>
        <w:t>每年至少两次</w:t>
      </w:r>
      <w:r>
        <w:rPr>
          <w:rFonts w:eastAsia="仿宋_GB2312"/>
          <w:snapToGrid w:val="0"/>
          <w:kern w:val="0"/>
          <w:sz w:val="32"/>
          <w:szCs w:val="32"/>
        </w:rPr>
        <w:t>更新学校教师基础信息，确保平台教师数据的完整和准确。</w:t>
      </w:r>
    </w:p>
    <w:p>
      <w:pPr>
        <w:spacing w:line="560" w:lineRule="exact"/>
        <w:ind w:firstLine="640"/>
        <w:rPr>
          <w:rFonts w:eastAsia="黑体"/>
          <w:snapToGrid w:val="0"/>
          <w:kern w:val="0"/>
          <w:sz w:val="32"/>
          <w:szCs w:val="32"/>
        </w:rPr>
      </w:pPr>
      <w:r>
        <w:rPr>
          <w:rFonts w:hint="eastAsia" w:eastAsia="黑体"/>
          <w:snapToGrid w:val="0"/>
          <w:kern w:val="0"/>
          <w:sz w:val="32"/>
          <w:szCs w:val="32"/>
        </w:rPr>
        <w:t>五</w:t>
      </w:r>
      <w:r>
        <w:rPr>
          <w:rFonts w:eastAsia="黑体"/>
          <w:snapToGrid w:val="0"/>
          <w:kern w:val="0"/>
          <w:sz w:val="32"/>
          <w:szCs w:val="32"/>
        </w:rPr>
        <w:t>、</w:t>
      </w:r>
      <w:r>
        <w:rPr>
          <w:rFonts w:hint="eastAsia" w:eastAsia="黑体"/>
          <w:snapToGrid w:val="0"/>
          <w:kern w:val="0"/>
          <w:sz w:val="32"/>
          <w:szCs w:val="32"/>
        </w:rPr>
        <w:t>如何</w:t>
      </w:r>
      <w:r>
        <w:rPr>
          <w:rFonts w:eastAsia="黑体"/>
          <w:snapToGrid w:val="0"/>
          <w:kern w:val="0"/>
          <w:sz w:val="32"/>
          <w:szCs w:val="32"/>
        </w:rPr>
        <w:t>进行学时管理</w:t>
      </w:r>
      <w:r>
        <w:rPr>
          <w:rFonts w:hint="eastAsia" w:eastAsia="黑体"/>
          <w:snapToGrid w:val="0"/>
          <w:kern w:val="0"/>
          <w:sz w:val="32"/>
          <w:szCs w:val="32"/>
        </w:rPr>
        <w:t>？</w:t>
      </w:r>
    </w:p>
    <w:p>
      <w:pPr>
        <w:spacing w:line="560" w:lineRule="exact"/>
        <w:ind w:firstLine="640"/>
        <w:rPr>
          <w:rFonts w:eastAsia="仿宋_GB2312"/>
          <w:snapToGrid w:val="0"/>
          <w:kern w:val="0"/>
          <w:sz w:val="32"/>
          <w:szCs w:val="32"/>
        </w:rPr>
      </w:pPr>
      <w:r>
        <w:rPr>
          <w:rFonts w:eastAsia="仿宋_GB2312"/>
          <w:snapToGrid w:val="0"/>
          <w:kern w:val="0"/>
          <w:sz w:val="32"/>
          <w:szCs w:val="32"/>
        </w:rPr>
        <w:t>（一）依托“广州继教网”对教师继续教育学时进行管理；依托“广东省专业技术人员继续教育系统https://ggfw.hrss.gd.gov.cn/zjjyweb/”（以下简称“省人社系统”）进行教师继续教育年度验证。中小学教师须在“广州继教网”“省人社系统”实名注册账号，并保证个人身份信息真实、准确。</w:t>
      </w:r>
    </w:p>
    <w:p>
      <w:pPr>
        <w:spacing w:line="560" w:lineRule="exact"/>
        <w:ind w:firstLine="640"/>
        <w:rPr>
          <w:rFonts w:eastAsia="仿宋_GB2312"/>
          <w:snapToGrid w:val="0"/>
          <w:kern w:val="0"/>
          <w:sz w:val="32"/>
          <w:szCs w:val="32"/>
        </w:rPr>
      </w:pPr>
      <w:r>
        <w:rPr>
          <w:rFonts w:hint="eastAsia" w:eastAsia="仿宋_GB2312"/>
          <w:snapToGrid w:val="0"/>
          <w:kern w:val="0"/>
          <w:sz w:val="32"/>
          <w:szCs w:val="32"/>
          <w:lang w:eastAsia="zh-CN"/>
        </w:rPr>
        <w:drawing>
          <wp:anchor distT="0" distB="0" distL="114300" distR="114300" simplePos="0" relativeHeight="251661312" behindDoc="0" locked="0" layoutInCell="1" allowOverlap="1">
            <wp:simplePos x="0" y="0"/>
            <wp:positionH relativeFrom="column">
              <wp:posOffset>158750</wp:posOffset>
            </wp:positionH>
            <wp:positionV relativeFrom="paragraph">
              <wp:posOffset>301625</wp:posOffset>
            </wp:positionV>
            <wp:extent cx="5610225" cy="2894330"/>
            <wp:effectExtent l="0" t="0" r="0" b="0"/>
            <wp:wrapNone/>
            <wp:docPr id="23" name="图片 2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8"/>
                    <pic:cNvPicPr>
                      <a:picLocks noChangeAspect="1"/>
                    </pic:cNvPicPr>
                  </pic:nvPicPr>
                  <pic:blipFill>
                    <a:blip r:embed="rId11"/>
                    <a:stretch>
                      <a:fillRect/>
                    </a:stretch>
                  </pic:blipFill>
                  <pic:spPr>
                    <a:xfrm>
                      <a:off x="0" y="0"/>
                      <a:ext cx="5610225" cy="2894330"/>
                    </a:xfrm>
                    <a:prstGeom prst="rect">
                      <a:avLst/>
                    </a:prstGeom>
                  </pic:spPr>
                </pic:pic>
              </a:graphicData>
            </a:graphic>
          </wp:anchor>
        </w:drawing>
      </w:r>
      <w:r>
        <w:rPr>
          <w:rFonts w:eastAsia="仿宋_GB2312"/>
          <w:snapToGrid w:val="0"/>
          <w:kern w:val="0"/>
          <w:sz w:val="32"/>
          <w:szCs w:val="32"/>
        </w:rPr>
        <w:t>（二）中小学教师接受继续教育的时间应当每年累计不少于90学时。</w:t>
      </w:r>
    </w:p>
    <w:p>
      <w:pPr>
        <w:spacing w:line="560" w:lineRule="exact"/>
        <w:ind w:firstLine="640"/>
        <w:rPr>
          <w:rFonts w:hint="eastAsia" w:eastAsia="仿宋_GB2312"/>
          <w:snapToGrid w:val="0"/>
          <w:kern w:val="0"/>
          <w:sz w:val="32"/>
          <w:szCs w:val="32"/>
          <w:lang w:eastAsia="zh-CN"/>
        </w:rPr>
      </w:pPr>
    </w:p>
    <w:p>
      <w:pPr>
        <w:spacing w:line="560" w:lineRule="exact"/>
        <w:ind w:firstLine="640"/>
        <w:rPr>
          <w:rFonts w:eastAsia="仿宋_GB2312"/>
          <w:snapToGrid w:val="0"/>
          <w:kern w:val="0"/>
          <w:sz w:val="32"/>
          <w:szCs w:val="32"/>
        </w:rPr>
      </w:pPr>
    </w:p>
    <w:p>
      <w:pPr>
        <w:spacing w:line="560" w:lineRule="exact"/>
        <w:ind w:firstLine="640"/>
        <w:rPr>
          <w:rFonts w:eastAsia="仿宋_GB2312"/>
          <w:snapToGrid w:val="0"/>
          <w:kern w:val="0"/>
          <w:sz w:val="32"/>
          <w:szCs w:val="32"/>
        </w:rPr>
      </w:pPr>
    </w:p>
    <w:p>
      <w:pPr>
        <w:spacing w:line="560" w:lineRule="exact"/>
        <w:ind w:firstLine="640"/>
        <w:rPr>
          <w:rFonts w:eastAsia="仿宋_GB2312"/>
          <w:snapToGrid w:val="0"/>
          <w:kern w:val="0"/>
          <w:sz w:val="32"/>
          <w:szCs w:val="32"/>
        </w:rPr>
      </w:pPr>
    </w:p>
    <w:p>
      <w:pPr>
        <w:spacing w:line="560" w:lineRule="exact"/>
        <w:ind w:firstLine="640"/>
        <w:rPr>
          <w:rFonts w:eastAsia="仿宋_GB2312"/>
          <w:snapToGrid w:val="0"/>
          <w:kern w:val="0"/>
          <w:sz w:val="32"/>
          <w:szCs w:val="32"/>
        </w:rPr>
      </w:pPr>
    </w:p>
    <w:p>
      <w:pPr>
        <w:spacing w:line="560" w:lineRule="exact"/>
        <w:ind w:firstLine="640"/>
        <w:rPr>
          <w:rFonts w:eastAsia="仿宋_GB2312"/>
          <w:snapToGrid w:val="0"/>
          <w:kern w:val="0"/>
          <w:sz w:val="32"/>
          <w:szCs w:val="32"/>
        </w:rPr>
      </w:pPr>
    </w:p>
    <w:p>
      <w:pPr>
        <w:spacing w:line="560" w:lineRule="exact"/>
        <w:ind w:firstLine="640"/>
        <w:rPr>
          <w:rFonts w:eastAsia="仿宋_GB2312"/>
          <w:snapToGrid w:val="0"/>
          <w:kern w:val="0"/>
          <w:sz w:val="32"/>
          <w:szCs w:val="32"/>
        </w:rPr>
      </w:pPr>
    </w:p>
    <w:p>
      <w:pPr>
        <w:spacing w:line="560" w:lineRule="exact"/>
        <w:ind w:firstLine="640" w:firstLineChars="200"/>
        <w:rPr>
          <w:rFonts w:eastAsia="仿宋_GB2312"/>
          <w:snapToGrid w:val="0"/>
          <w:kern w:val="0"/>
          <w:sz w:val="32"/>
          <w:szCs w:val="32"/>
        </w:rPr>
      </w:pPr>
      <w:r>
        <w:rPr>
          <w:rFonts w:eastAsia="仿宋_GB2312"/>
          <w:snapToGrid w:val="0"/>
          <w:kern w:val="0"/>
          <w:sz w:val="32"/>
          <w:szCs w:val="32"/>
        </w:rPr>
        <w:t>（三）各级教师发展中心（含教研、电教部门）、学校应做好教师继续教育学时登记工作，严格按照考勤情况保障学员的学时如实、及时登记。公需科目学时登记按省人力资源和社会保障厅要求执行，专业科目和个人选修科目应在当年</w:t>
      </w:r>
      <w:r>
        <w:rPr>
          <w:rFonts w:eastAsia="仿宋_GB2312"/>
          <w:b/>
          <w:snapToGrid w:val="0"/>
          <w:kern w:val="0"/>
          <w:sz w:val="32"/>
          <w:szCs w:val="32"/>
        </w:rPr>
        <w:t>12月31日</w:t>
      </w:r>
      <w:r>
        <w:rPr>
          <w:rFonts w:eastAsia="仿宋_GB2312"/>
          <w:snapToGrid w:val="0"/>
          <w:kern w:val="0"/>
          <w:sz w:val="32"/>
          <w:szCs w:val="32"/>
        </w:rPr>
        <w:t>前完成学时登记，因特殊原因无法按时完成学时登记的，必须于当年</w:t>
      </w:r>
      <w:r>
        <w:rPr>
          <w:rFonts w:eastAsia="仿宋_GB2312"/>
          <w:b/>
          <w:snapToGrid w:val="0"/>
          <w:kern w:val="0"/>
          <w:sz w:val="32"/>
          <w:szCs w:val="32"/>
        </w:rPr>
        <w:t>12月1日</w:t>
      </w:r>
      <w:r>
        <w:rPr>
          <w:rFonts w:eastAsia="仿宋_GB2312"/>
          <w:snapToGrid w:val="0"/>
          <w:kern w:val="0"/>
          <w:sz w:val="32"/>
          <w:szCs w:val="32"/>
        </w:rPr>
        <w:t>前向市教师继续教育业务管理部门出具书面申请。</w:t>
      </w:r>
    </w:p>
    <w:p>
      <w:pPr>
        <w:spacing w:line="560" w:lineRule="exact"/>
        <w:ind w:firstLine="640"/>
        <w:rPr>
          <w:rFonts w:ascii="仿宋_GB2312" w:eastAsia="仿宋_GB2312"/>
          <w:b/>
          <w:kern w:val="0"/>
          <w:sz w:val="32"/>
          <w:szCs w:val="32"/>
        </w:rPr>
      </w:pPr>
      <w:r>
        <w:rPr>
          <w:rFonts w:eastAsia="仿宋_GB2312"/>
          <w:snapToGrid w:val="0"/>
          <w:kern w:val="0"/>
          <w:sz w:val="32"/>
          <w:szCs w:val="32"/>
        </w:rPr>
        <w:t>（四）中小学教师继续教育学时管理实行“学时银行”制度。中小学教师通过不同方式参加继续教育学习或研修获得相应学时，实现学时兑换、登记、存储和使用。</w:t>
      </w:r>
    </w:p>
    <w:p>
      <w:pPr>
        <w:spacing w:line="560" w:lineRule="exact"/>
        <w:ind w:firstLine="640"/>
        <w:rPr>
          <w:b/>
          <w:szCs w:val="21"/>
        </w:rPr>
      </w:pPr>
      <w:r>
        <w:rPr>
          <w:rFonts w:ascii="仿宋_GB2312" w:eastAsia="仿宋_GB2312"/>
          <w:b/>
          <w:kern w:val="0"/>
          <w:sz w:val="32"/>
          <w:szCs w:val="32"/>
        </w:rPr>
        <w:t>公需科目</w:t>
      </w:r>
      <w:r>
        <w:rPr>
          <w:rFonts w:hint="eastAsia" w:ascii="仿宋_GB2312" w:eastAsia="仿宋_GB2312"/>
          <w:b/>
          <w:kern w:val="0"/>
          <w:sz w:val="32"/>
          <w:szCs w:val="32"/>
        </w:rPr>
        <w:t>、</w:t>
      </w:r>
      <w:r>
        <w:rPr>
          <w:rFonts w:ascii="仿宋_GB2312" w:eastAsia="仿宋_GB2312"/>
          <w:b/>
          <w:kern w:val="0"/>
          <w:sz w:val="32"/>
          <w:szCs w:val="32"/>
        </w:rPr>
        <w:t>专业科目</w:t>
      </w:r>
      <w:r>
        <w:rPr>
          <w:rFonts w:hint="eastAsia" w:ascii="仿宋_GB2312" w:eastAsia="仿宋_GB2312"/>
          <w:b/>
          <w:kern w:val="0"/>
          <w:sz w:val="32"/>
          <w:szCs w:val="32"/>
        </w:rPr>
        <w:t>、</w:t>
      </w:r>
      <w:r>
        <w:rPr>
          <w:rFonts w:ascii="仿宋_GB2312" w:eastAsia="仿宋_GB2312"/>
          <w:b/>
          <w:kern w:val="0"/>
          <w:sz w:val="32"/>
          <w:szCs w:val="32"/>
        </w:rPr>
        <w:t>个人选修科目学时登记</w:t>
      </w:r>
      <w:r>
        <w:rPr>
          <w:rFonts w:hint="eastAsia" w:ascii="仿宋_GB2312" w:eastAsia="仿宋_GB2312"/>
          <w:b/>
          <w:kern w:val="0"/>
          <w:sz w:val="32"/>
          <w:szCs w:val="32"/>
        </w:rPr>
        <w:t>途径</w:t>
      </w:r>
      <w:r>
        <w:rPr>
          <w:rFonts w:ascii="仿宋_GB2312" w:eastAsia="仿宋_GB2312"/>
          <w:b/>
          <w:kern w:val="0"/>
          <w:sz w:val="32"/>
          <w:szCs w:val="32"/>
        </w:rPr>
        <w:t>：</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-428625</wp:posOffset>
            </wp:positionH>
            <wp:positionV relativeFrom="paragraph">
              <wp:posOffset>19685</wp:posOffset>
            </wp:positionV>
            <wp:extent cx="6487160" cy="1266825"/>
            <wp:effectExtent l="0" t="0" r="8890" b="9525"/>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2"/>
                    <a:stretch>
                      <a:fillRect/>
                    </a:stretch>
                  </pic:blipFill>
                  <pic:spPr>
                    <a:xfrm>
                      <a:off x="0" y="0"/>
                      <a:ext cx="6487160" cy="1266825"/>
                    </a:xfrm>
                    <a:prstGeom prst="rect">
                      <a:avLst/>
                    </a:prstGeom>
                    <a:noFill/>
                    <a:ln w="9525">
                      <a:noFill/>
                    </a:ln>
                  </pic:spPr>
                </pic:pic>
              </a:graphicData>
            </a:graphic>
          </wp:anchor>
        </w:drawing>
      </w:r>
    </w:p>
    <w:p>
      <w:pPr>
        <w:adjustRightInd w:val="0"/>
        <w:snapToGrid w:val="0"/>
        <w:spacing w:line="560" w:lineRule="exact"/>
        <w:ind w:firstLine="645"/>
        <w:rPr>
          <w:rFonts w:ascii="仿宋_GB2312" w:eastAsia="仿宋_GB2312"/>
          <w:kern w:val="0"/>
          <w:sz w:val="32"/>
          <w:szCs w:val="32"/>
        </w:rPr>
      </w:pPr>
    </w:p>
    <w:p>
      <w:pPr>
        <w:adjustRightInd w:val="0"/>
        <w:snapToGrid w:val="0"/>
        <w:spacing w:line="560" w:lineRule="exact"/>
        <w:ind w:firstLine="645"/>
        <w:rPr>
          <w:rFonts w:ascii="仿宋_GB2312" w:eastAsia="仿宋_GB2312"/>
          <w:kern w:val="0"/>
          <w:sz w:val="32"/>
          <w:szCs w:val="32"/>
        </w:rPr>
      </w:pPr>
    </w:p>
    <w:p>
      <w:pPr>
        <w:adjustRightInd w:val="0"/>
        <w:snapToGrid w:val="0"/>
        <w:spacing w:line="560" w:lineRule="exact"/>
        <w:ind w:firstLine="645"/>
        <w:rPr>
          <w:rFonts w:hint="eastAsia" w:ascii="仿宋_GB2312" w:eastAsia="仿宋_GB2312"/>
          <w:kern w:val="0"/>
          <w:sz w:val="32"/>
          <w:szCs w:val="32"/>
          <w:lang w:eastAsia="zh-CN"/>
        </w:rPr>
      </w:pPr>
    </w:p>
    <w:p>
      <w:pPr>
        <w:adjustRightInd w:val="0"/>
        <w:snapToGrid w:val="0"/>
        <w:spacing w:line="560" w:lineRule="exact"/>
        <w:ind w:firstLine="645"/>
        <w:rPr>
          <w:rFonts w:ascii="仿宋_GB2312" w:eastAsia="仿宋_GB2312"/>
          <w:kern w:val="0"/>
          <w:sz w:val="32"/>
          <w:szCs w:val="32"/>
        </w:rPr>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-419100</wp:posOffset>
            </wp:positionH>
            <wp:positionV relativeFrom="paragraph">
              <wp:posOffset>95885</wp:posOffset>
            </wp:positionV>
            <wp:extent cx="6447155" cy="3549650"/>
            <wp:effectExtent l="0" t="0" r="10795" b="12700"/>
            <wp:wrapNone/>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3"/>
                    <a:stretch>
                      <a:fillRect/>
                    </a:stretch>
                  </pic:blipFill>
                  <pic:spPr>
                    <a:xfrm>
                      <a:off x="0" y="0"/>
                      <a:ext cx="6447155" cy="3549650"/>
                    </a:xfrm>
                    <a:prstGeom prst="rect">
                      <a:avLst/>
                    </a:prstGeom>
                    <a:noFill/>
                    <a:ln w="9525">
                      <a:noFill/>
                    </a:ln>
                  </pic:spPr>
                </pic:pic>
              </a:graphicData>
            </a:graphic>
          </wp:anchor>
        </w:drawing>
      </w:r>
    </w:p>
    <w:p>
      <w:pPr>
        <w:adjustRightInd w:val="0"/>
        <w:snapToGrid w:val="0"/>
        <w:spacing w:line="560" w:lineRule="exact"/>
        <w:ind w:firstLine="645"/>
        <w:rPr>
          <w:rFonts w:ascii="仿宋_GB2312" w:eastAsia="仿宋_GB2312"/>
          <w:kern w:val="0"/>
          <w:sz w:val="32"/>
          <w:szCs w:val="32"/>
        </w:rPr>
      </w:pPr>
    </w:p>
    <w:p>
      <w:pPr>
        <w:adjustRightInd w:val="0"/>
        <w:snapToGrid w:val="0"/>
        <w:spacing w:line="560" w:lineRule="exact"/>
        <w:ind w:firstLine="645"/>
        <w:rPr>
          <w:rFonts w:ascii="仿宋_GB2312" w:eastAsia="仿宋_GB2312"/>
          <w:kern w:val="0"/>
          <w:sz w:val="32"/>
          <w:szCs w:val="32"/>
        </w:rPr>
      </w:pPr>
    </w:p>
    <w:p>
      <w:pPr>
        <w:adjustRightInd w:val="0"/>
        <w:snapToGrid w:val="0"/>
        <w:spacing w:line="560" w:lineRule="exact"/>
        <w:ind w:firstLine="645"/>
        <w:rPr>
          <w:rFonts w:ascii="仿宋_GB2312" w:eastAsia="仿宋_GB2312"/>
          <w:kern w:val="0"/>
          <w:sz w:val="32"/>
          <w:szCs w:val="32"/>
        </w:rPr>
      </w:pPr>
    </w:p>
    <w:p>
      <w:pPr>
        <w:keepNext w:val="0"/>
        <w:keepLines w:val="0"/>
        <w:widowControl/>
        <w:suppressLineNumbers w:val="0"/>
        <w:jc w:val="left"/>
      </w:pPr>
    </w:p>
    <w:p>
      <w:pPr>
        <w:adjustRightInd w:val="0"/>
        <w:snapToGrid w:val="0"/>
        <w:spacing w:line="560" w:lineRule="exact"/>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12065</wp:posOffset>
            </wp:positionV>
            <wp:extent cx="5812155" cy="3286760"/>
            <wp:effectExtent l="0" t="0" r="17145" b="8890"/>
            <wp:wrapNone/>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14"/>
                    <a:stretch>
                      <a:fillRect/>
                    </a:stretch>
                  </pic:blipFill>
                  <pic:spPr>
                    <a:xfrm>
                      <a:off x="0" y="0"/>
                      <a:ext cx="5812155" cy="3286760"/>
                    </a:xfrm>
                    <a:prstGeom prst="rect">
                      <a:avLst/>
                    </a:prstGeom>
                    <a:noFill/>
                    <a:ln w="9525">
                      <a:noFill/>
                    </a:ln>
                  </pic:spPr>
                </pic:pic>
              </a:graphicData>
            </a:graphic>
          </wp:anchor>
        </w:drawing>
      </w:r>
    </w:p>
    <w:p>
      <w:pPr>
        <w:keepNext w:val="0"/>
        <w:keepLines w:val="0"/>
        <w:widowControl/>
        <w:suppressLineNumbers w:val="0"/>
        <w:jc w:val="left"/>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p>
    <w:p>
      <w:pPr>
        <w:adjustRightInd w:val="0"/>
        <w:snapToGrid w:val="0"/>
        <w:spacing w:line="560" w:lineRule="exact"/>
        <w:ind w:firstLine="645"/>
        <w:rPr>
          <w:rFonts w:eastAsia="仿宋_GB2312"/>
          <w:kern w:val="0"/>
          <w:sz w:val="32"/>
          <w:szCs w:val="32"/>
        </w:rPr>
      </w:pPr>
      <w:r>
        <w:rPr>
          <w:rFonts w:hint="eastAsia" w:eastAsia="仿宋_GB2312"/>
          <w:kern w:val="0"/>
          <w:sz w:val="32"/>
          <w:szCs w:val="32"/>
          <w:lang w:eastAsia="zh-CN"/>
        </w:rPr>
        <w:drawing>
          <wp:anchor distT="0" distB="0" distL="114935" distR="114935" simplePos="0" relativeHeight="251670528" behindDoc="1" locked="0" layoutInCell="1" allowOverlap="1">
            <wp:simplePos x="0" y="0"/>
            <wp:positionH relativeFrom="column">
              <wp:posOffset>-77470</wp:posOffset>
            </wp:positionH>
            <wp:positionV relativeFrom="paragraph">
              <wp:posOffset>667385</wp:posOffset>
            </wp:positionV>
            <wp:extent cx="5891530" cy="3298190"/>
            <wp:effectExtent l="0" t="0" r="13970" b="16510"/>
            <wp:wrapTight wrapText="bothSides">
              <wp:wrapPolygon>
                <wp:start x="0" y="0"/>
                <wp:lineTo x="0" y="21459"/>
                <wp:lineTo x="21512" y="21459"/>
                <wp:lineTo x="21512" y="0"/>
                <wp:lineTo x="0" y="0"/>
              </wp:wrapPolygon>
            </wp:wrapTight>
            <wp:docPr id="13" name="图片 13" descr="c483a5891f205bd1cb217755fb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483a5891f205bd1cb217755fb27331"/>
                    <pic:cNvPicPr>
                      <a:picLocks noChangeAspect="1"/>
                    </pic:cNvPicPr>
                  </pic:nvPicPr>
                  <pic:blipFill>
                    <a:blip r:embed="rId15"/>
                    <a:stretch>
                      <a:fillRect/>
                    </a:stretch>
                  </pic:blipFill>
                  <pic:spPr>
                    <a:xfrm>
                      <a:off x="0" y="0"/>
                      <a:ext cx="5891530" cy="3298190"/>
                    </a:xfrm>
                    <a:prstGeom prst="rect">
                      <a:avLst/>
                    </a:prstGeom>
                  </pic:spPr>
                </pic:pic>
              </a:graphicData>
            </a:graphic>
          </wp:anchor>
        </w:drawing>
      </w:r>
    </w:p>
    <w:p>
      <w:pPr>
        <w:adjustRightInd w:val="0"/>
        <w:snapToGrid w:val="0"/>
        <w:spacing w:line="560" w:lineRule="exact"/>
        <w:ind w:firstLine="645"/>
        <w:rPr>
          <w:rFonts w:eastAsia="仿宋_GB2312"/>
          <w:kern w:val="0"/>
          <w:sz w:val="32"/>
          <w:szCs w:val="32"/>
        </w:rPr>
      </w:pPr>
    </w:p>
    <w:p>
      <w:pPr>
        <w:adjustRightInd w:val="0"/>
        <w:snapToGrid w:val="0"/>
        <w:spacing w:line="560" w:lineRule="exact"/>
        <w:rPr>
          <w:rFonts w:eastAsia="仿宋_GB2312"/>
          <w:kern w:val="0"/>
          <w:sz w:val="32"/>
          <w:szCs w:val="32"/>
        </w:rPr>
      </w:pPr>
    </w:p>
    <w:p>
      <w:pPr>
        <w:adjustRightInd w:val="0"/>
        <w:snapToGrid w:val="0"/>
        <w:spacing w:line="560" w:lineRule="exact"/>
        <w:ind w:firstLine="645"/>
        <w:rPr>
          <w:rFonts w:eastAsia="楷体_GB2312"/>
          <w:snapToGrid w:val="0"/>
          <w:kern w:val="0"/>
          <w:sz w:val="32"/>
          <w:szCs w:val="32"/>
        </w:rPr>
      </w:pPr>
      <w:r>
        <w:rPr>
          <w:rFonts w:eastAsia="楷体_GB2312"/>
          <w:snapToGrid w:val="0"/>
          <w:kern w:val="0"/>
          <w:sz w:val="32"/>
          <w:szCs w:val="32"/>
        </w:rPr>
        <w:t>（五）继续教育年度验证</w:t>
      </w:r>
    </w:p>
    <w:p>
      <w:pPr>
        <w:adjustRightInd w:val="0"/>
        <w:snapToGrid w:val="0"/>
        <w:spacing w:line="560" w:lineRule="exact"/>
        <w:ind w:firstLine="645"/>
        <w:rPr>
          <w:rFonts w:eastAsia="楷体_GB2312"/>
          <w:snapToGrid w:val="0"/>
          <w:kern w:val="0"/>
          <w:sz w:val="32"/>
          <w:szCs w:val="32"/>
        </w:rPr>
      </w:pPr>
      <w:r>
        <w:rPr>
          <w:rFonts w:eastAsia="仿宋_GB2312"/>
          <w:snapToGrid w:val="0"/>
          <w:kern w:val="0"/>
          <w:sz w:val="32"/>
          <w:szCs w:val="32"/>
        </w:rPr>
        <w:t>1.以“广州继教网”和“省人社系统”中登记和存储的继续教育公需科目、专业科目、个人选修科目学时数据为依据，按年度总学时、公需科目学时、专业科目学时和个人选修科目学时等完成情况进行验证。继续教育年度验证工作在“省人社系统”进行，并以其验证结果为准。</w:t>
      </w:r>
    </w:p>
    <w:p>
      <w:pPr>
        <w:spacing w:line="560" w:lineRule="exact"/>
        <w:ind w:firstLine="640"/>
        <w:rPr>
          <w:rFonts w:eastAsia="仿宋_GB2312"/>
          <w:snapToGrid w:val="0"/>
          <w:kern w:val="0"/>
          <w:sz w:val="32"/>
          <w:szCs w:val="32"/>
        </w:rPr>
      </w:pPr>
      <w:r>
        <w:rPr>
          <w:rFonts w:eastAsia="仿宋_GB2312"/>
          <w:snapToGrid w:val="0"/>
          <w:kern w:val="0"/>
          <w:sz w:val="32"/>
          <w:szCs w:val="32"/>
        </w:rPr>
        <w:t>2.中小学教师继续教育年度验证通过的，对</w:t>
      </w:r>
      <w:r>
        <w:rPr>
          <w:rFonts w:eastAsia="仿宋_GB2312"/>
          <w:b/>
          <w:snapToGrid w:val="0"/>
          <w:kern w:val="0"/>
          <w:sz w:val="32"/>
          <w:szCs w:val="32"/>
        </w:rPr>
        <w:t>专业科目学时</w:t>
      </w:r>
      <w:r>
        <w:rPr>
          <w:rFonts w:eastAsia="仿宋_GB2312"/>
          <w:snapToGrid w:val="0"/>
          <w:kern w:val="0"/>
          <w:sz w:val="32"/>
          <w:szCs w:val="32"/>
        </w:rPr>
        <w:t>按最大可结转数量（专业科目学时超过42学时的部分）在“广州继教网”</w:t>
      </w:r>
      <w:r>
        <w:rPr>
          <w:rFonts w:eastAsia="仿宋_GB2312"/>
          <w:b/>
          <w:snapToGrid w:val="0"/>
          <w:kern w:val="0"/>
          <w:sz w:val="32"/>
          <w:szCs w:val="32"/>
        </w:rPr>
        <w:t>自动转入下一年度，公需科目和个人选修科目学时不予结转。</w:t>
      </w:r>
      <w:r>
        <w:rPr>
          <w:rFonts w:eastAsia="仿宋_GB2312"/>
          <w:snapToGrid w:val="0"/>
          <w:kern w:val="0"/>
          <w:sz w:val="32"/>
          <w:szCs w:val="32"/>
        </w:rPr>
        <w:t>结转学时的</w:t>
      </w:r>
      <w:r>
        <w:rPr>
          <w:rFonts w:eastAsia="仿宋_GB2312"/>
          <w:b/>
          <w:snapToGrid w:val="0"/>
          <w:kern w:val="0"/>
          <w:sz w:val="32"/>
          <w:szCs w:val="32"/>
        </w:rPr>
        <w:t>有效期为一年</w:t>
      </w:r>
      <w:r>
        <w:rPr>
          <w:rFonts w:eastAsia="仿宋_GB2312"/>
          <w:snapToGrid w:val="0"/>
          <w:kern w:val="0"/>
          <w:sz w:val="32"/>
          <w:szCs w:val="32"/>
        </w:rPr>
        <w:t>。每年教师继续教育学时验证，优先使用上一年度的结转学时。</w:t>
      </w:r>
    </w:p>
    <w:p>
      <w:pPr>
        <w:adjustRightInd w:val="0"/>
        <w:snapToGrid w:val="0"/>
        <w:spacing w:line="560" w:lineRule="exact"/>
        <w:ind w:firstLine="640" w:firstLineChars="200"/>
        <w:rPr>
          <w:rFonts w:eastAsia="黑体"/>
          <w:snapToGrid w:val="0"/>
          <w:kern w:val="0"/>
          <w:sz w:val="32"/>
          <w:szCs w:val="32"/>
        </w:rPr>
      </w:pPr>
      <w:r>
        <w:rPr>
          <w:rFonts w:hint="eastAsia" w:eastAsia="黑体"/>
          <w:snapToGrid w:val="0"/>
          <w:kern w:val="0"/>
          <w:sz w:val="32"/>
          <w:szCs w:val="32"/>
        </w:rPr>
        <w:t>六</w:t>
      </w:r>
      <w:r>
        <w:rPr>
          <w:rFonts w:eastAsia="黑体"/>
          <w:snapToGrid w:val="0"/>
          <w:kern w:val="0"/>
          <w:sz w:val="32"/>
          <w:szCs w:val="32"/>
        </w:rPr>
        <w:t>、网络研修积分</w:t>
      </w:r>
      <w:r>
        <w:rPr>
          <w:rFonts w:hint="eastAsia" w:eastAsia="黑体"/>
          <w:snapToGrid w:val="0"/>
          <w:kern w:val="0"/>
          <w:sz w:val="32"/>
          <w:szCs w:val="32"/>
        </w:rPr>
        <w:t>如何</w:t>
      </w:r>
      <w:r>
        <w:rPr>
          <w:rFonts w:eastAsia="黑体"/>
          <w:snapToGrid w:val="0"/>
          <w:kern w:val="0"/>
          <w:sz w:val="32"/>
          <w:szCs w:val="32"/>
        </w:rPr>
        <w:t>兑换学时</w:t>
      </w:r>
      <w:r>
        <w:rPr>
          <w:rFonts w:hint="eastAsia" w:eastAsia="黑体"/>
          <w:snapToGrid w:val="0"/>
          <w:kern w:val="0"/>
          <w:sz w:val="32"/>
          <w:szCs w:val="32"/>
        </w:rPr>
        <w:t>？</w:t>
      </w:r>
    </w:p>
    <w:p>
      <w:pPr>
        <w:spacing w:line="560" w:lineRule="exact"/>
        <w:ind w:firstLine="640"/>
        <w:rPr>
          <w:rFonts w:eastAsia="仿宋_GB2312"/>
          <w:snapToGrid w:val="0"/>
          <w:kern w:val="0"/>
          <w:sz w:val="32"/>
          <w:szCs w:val="32"/>
        </w:rPr>
      </w:pPr>
      <w:r>
        <w:rPr>
          <w:rFonts w:hint="eastAsia" w:eastAsia="仿宋_GB2312"/>
          <w:snapToGrid w:val="0"/>
          <w:kern w:val="0"/>
          <w:sz w:val="32"/>
          <w:szCs w:val="32"/>
        </w:rPr>
        <w:t>“</w:t>
      </w:r>
      <w:r>
        <w:rPr>
          <w:rFonts w:eastAsia="仿宋_GB2312"/>
          <w:snapToGrid w:val="0"/>
          <w:kern w:val="0"/>
          <w:sz w:val="32"/>
          <w:szCs w:val="32"/>
        </w:rPr>
        <w:t>广州继教网</w:t>
      </w:r>
      <w:r>
        <w:rPr>
          <w:rFonts w:hint="eastAsia" w:eastAsia="仿宋_GB2312"/>
          <w:snapToGrid w:val="0"/>
          <w:kern w:val="0"/>
          <w:sz w:val="32"/>
          <w:szCs w:val="32"/>
        </w:rPr>
        <w:t>”</w:t>
      </w:r>
      <w:r>
        <w:rPr>
          <w:rFonts w:eastAsia="仿宋_GB2312"/>
          <w:snapToGrid w:val="0"/>
          <w:kern w:val="0"/>
          <w:sz w:val="32"/>
          <w:szCs w:val="32"/>
        </w:rPr>
        <w:t>网络研修积分</w:t>
      </w:r>
      <w:r>
        <w:rPr>
          <w:rFonts w:hint="eastAsia" w:eastAsia="仿宋_GB2312"/>
          <w:snapToGrid w:val="0"/>
          <w:kern w:val="0"/>
          <w:sz w:val="32"/>
          <w:szCs w:val="32"/>
        </w:rPr>
        <w:t>分为</w:t>
      </w:r>
      <w:r>
        <w:rPr>
          <w:rFonts w:eastAsia="仿宋_GB2312"/>
          <w:snapToGrid w:val="0"/>
          <w:kern w:val="0"/>
          <w:sz w:val="32"/>
          <w:szCs w:val="32"/>
        </w:rPr>
        <w:t>基本积分</w:t>
      </w:r>
      <w:r>
        <w:rPr>
          <w:rFonts w:hint="eastAsia" w:eastAsia="仿宋_GB2312"/>
          <w:snapToGrid w:val="0"/>
          <w:kern w:val="0"/>
          <w:sz w:val="32"/>
          <w:szCs w:val="32"/>
        </w:rPr>
        <w:t>、</w:t>
      </w:r>
      <w:r>
        <w:rPr>
          <w:rFonts w:eastAsia="仿宋_GB2312"/>
          <w:snapToGrid w:val="0"/>
          <w:kern w:val="0"/>
          <w:sz w:val="32"/>
          <w:szCs w:val="32"/>
        </w:rPr>
        <w:t>奖励积分</w:t>
      </w:r>
      <w:r>
        <w:rPr>
          <w:rFonts w:hint="eastAsia" w:eastAsia="仿宋_GB2312"/>
          <w:snapToGrid w:val="0"/>
          <w:kern w:val="0"/>
          <w:sz w:val="32"/>
          <w:szCs w:val="32"/>
        </w:rPr>
        <w:t>两类</w:t>
      </w:r>
      <w:r>
        <w:rPr>
          <w:rFonts w:eastAsia="仿宋_GB2312"/>
          <w:snapToGrid w:val="0"/>
          <w:kern w:val="0"/>
          <w:sz w:val="32"/>
          <w:szCs w:val="32"/>
        </w:rPr>
        <w:t>。</w:t>
      </w:r>
    </w:p>
    <w:p>
      <w:pPr>
        <w:numPr>
          <w:ilvl w:val="0"/>
          <w:numId w:val="1"/>
        </w:numPr>
        <w:adjustRightInd w:val="0"/>
        <w:snapToGrid w:val="0"/>
        <w:spacing w:line="560" w:lineRule="exact"/>
        <w:ind w:left="375" w:leftChars="0" w:firstLine="675" w:firstLineChars="0"/>
        <w:rPr>
          <w:rFonts w:hint="eastAsia" w:ascii="楷体_GB2312" w:eastAsia="楷体_GB2312"/>
          <w:b/>
          <w:snapToGrid w:val="0"/>
          <w:kern w:val="0"/>
          <w:sz w:val="32"/>
          <w:szCs w:val="32"/>
        </w:rPr>
      </w:pPr>
      <w:r>
        <w:drawing>
          <wp:anchor distT="0" distB="0" distL="114935" distR="114935" simplePos="0" relativeHeight="251669504" behindDoc="1" locked="0" layoutInCell="1" allowOverlap="1">
            <wp:simplePos x="0" y="0"/>
            <wp:positionH relativeFrom="column">
              <wp:posOffset>38100</wp:posOffset>
            </wp:positionH>
            <wp:positionV relativeFrom="paragraph">
              <wp:posOffset>355600</wp:posOffset>
            </wp:positionV>
            <wp:extent cx="5604510" cy="3102610"/>
            <wp:effectExtent l="0" t="0" r="15240" b="2540"/>
            <wp:wrapTight wrapText="bothSides">
              <wp:wrapPolygon>
                <wp:start x="0" y="0"/>
                <wp:lineTo x="0" y="21485"/>
                <wp:lineTo x="21512" y="21485"/>
                <wp:lineTo x="21512"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604510" cy="3102610"/>
                    </a:xfrm>
                    <a:prstGeom prst="rect">
                      <a:avLst/>
                    </a:prstGeom>
                    <a:noFill/>
                    <a:ln>
                      <a:noFill/>
                    </a:ln>
                  </pic:spPr>
                </pic:pic>
              </a:graphicData>
            </a:graphic>
          </wp:anchor>
        </w:drawing>
      </w:r>
      <w:r>
        <w:rPr>
          <w:rFonts w:hint="eastAsia" w:ascii="楷体_GB2312" w:eastAsia="楷体_GB2312"/>
          <w:b/>
          <w:snapToGrid w:val="0"/>
          <w:kern w:val="0"/>
          <w:sz w:val="32"/>
          <w:szCs w:val="32"/>
        </w:rPr>
        <w:t>基本积分规则如下：</w:t>
      </w: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p>
    <w:p>
      <w:pPr>
        <w:widowControl w:val="0"/>
        <w:numPr>
          <w:ilvl w:val="0"/>
          <w:numId w:val="0"/>
        </w:numPr>
        <w:adjustRightInd w:val="0"/>
        <w:snapToGrid w:val="0"/>
        <w:spacing w:line="560" w:lineRule="exact"/>
        <w:jc w:val="both"/>
        <w:rPr>
          <w:rFonts w:ascii="楷体_GB2312" w:eastAsia="楷体_GB2312"/>
          <w:b/>
          <w:snapToGrid w:val="0"/>
          <w:kern w:val="0"/>
          <w:sz w:val="32"/>
          <w:szCs w:val="32"/>
        </w:rPr>
      </w:pPr>
      <w:r>
        <w:rPr>
          <w:rFonts w:hint="eastAsia" w:ascii="楷体_GB2312" w:eastAsia="楷体_GB2312"/>
          <w:b/>
          <w:snapToGrid w:val="0"/>
          <w:kern w:val="0"/>
          <w:sz w:val="32"/>
          <w:szCs w:val="32"/>
          <w:lang w:val="en-US" w:eastAsia="zh-CN"/>
        </w:rPr>
        <w:t>（二）</w:t>
      </w:r>
      <w:r>
        <w:rPr>
          <w:rFonts w:ascii="楷体_GB2312" w:eastAsia="楷体_GB2312"/>
          <w:b/>
          <w:snapToGrid w:val="0"/>
          <w:kern w:val="0"/>
          <w:sz w:val="32"/>
          <w:szCs w:val="32"/>
        </w:rPr>
        <w:t>奖励积分规则如下：</w:t>
      </w: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r>
        <w:rPr>
          <w:rFonts w:ascii="宋体" w:hAnsi="宋体" w:eastAsia="宋体" w:cs="宋体"/>
          <w:kern w:val="0"/>
          <w:sz w:val="24"/>
          <w:szCs w:val="24"/>
          <w:lang w:val="en-US" w:eastAsia="zh-CN" w:bidi="ar"/>
        </w:rPr>
        <w:drawing>
          <wp:anchor distT="0" distB="0" distL="114300" distR="114300" simplePos="0" relativeHeight="251665408" behindDoc="0" locked="0" layoutInCell="1" allowOverlap="1">
            <wp:simplePos x="0" y="0"/>
            <wp:positionH relativeFrom="column">
              <wp:posOffset>-125095</wp:posOffset>
            </wp:positionH>
            <wp:positionV relativeFrom="paragraph">
              <wp:posOffset>161925</wp:posOffset>
            </wp:positionV>
            <wp:extent cx="7214235" cy="3961130"/>
            <wp:effectExtent l="0" t="0" r="5715" b="1270"/>
            <wp:wrapNone/>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17"/>
                    <a:stretch>
                      <a:fillRect/>
                    </a:stretch>
                  </pic:blipFill>
                  <pic:spPr>
                    <a:xfrm>
                      <a:off x="0" y="0"/>
                      <a:ext cx="7214235" cy="3961130"/>
                    </a:xfrm>
                    <a:prstGeom prst="rect">
                      <a:avLst/>
                    </a:prstGeom>
                    <a:noFill/>
                    <a:ln w="9525">
                      <a:noFill/>
                    </a:ln>
                  </pic:spPr>
                </pic:pic>
              </a:graphicData>
            </a:graphic>
          </wp:anchor>
        </w:drawing>
      </w:r>
    </w:p>
    <w:p>
      <w:pPr>
        <w:keepNext w:val="0"/>
        <w:keepLines w:val="0"/>
        <w:widowControl/>
        <w:suppressLineNumbers w:val="0"/>
        <w:jc w:val="left"/>
      </w:pPr>
    </w:p>
    <w:p>
      <w:pPr>
        <w:keepNext w:val="0"/>
        <w:keepLines w:val="0"/>
        <w:widowControl/>
        <w:suppressLineNumbers w:val="0"/>
        <w:jc w:val="left"/>
      </w:pP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lang w:val="en-US" w:eastAsia="zh-CN"/>
        </w:rPr>
      </w:pPr>
    </w:p>
    <w:p>
      <w:pPr>
        <w:widowControl w:val="0"/>
        <w:numPr>
          <w:ilvl w:val="0"/>
          <w:numId w:val="0"/>
        </w:numPr>
        <w:adjustRightInd w:val="0"/>
        <w:snapToGrid w:val="0"/>
        <w:spacing w:line="560" w:lineRule="exact"/>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hint="eastAsia" w:ascii="楷体_GB2312" w:eastAsia="楷体_GB2312"/>
          <w:b/>
          <w:snapToGrid w:val="0"/>
          <w:kern w:val="0"/>
          <w:sz w:val="32"/>
          <w:szCs w:val="32"/>
        </w:rPr>
      </w:pPr>
    </w:p>
    <w:p>
      <w:pPr>
        <w:widowControl w:val="0"/>
        <w:numPr>
          <w:ilvl w:val="0"/>
          <w:numId w:val="0"/>
        </w:numPr>
        <w:adjustRightInd w:val="0"/>
        <w:snapToGrid w:val="0"/>
        <w:spacing w:line="560" w:lineRule="exact"/>
        <w:ind w:firstLine="321" w:firstLineChars="100"/>
        <w:jc w:val="both"/>
        <w:rPr>
          <w:rFonts w:eastAsia="仿宋_GB2312"/>
          <w:snapToGrid w:val="0"/>
          <w:kern w:val="0"/>
          <w:sz w:val="32"/>
          <w:szCs w:val="32"/>
        </w:rPr>
      </w:pPr>
      <w:r>
        <w:rPr>
          <w:rFonts w:hint="eastAsia" w:ascii="楷体_GB2312" w:eastAsia="楷体_GB2312"/>
          <w:b/>
          <w:snapToGrid w:val="0"/>
          <w:kern w:val="0"/>
          <w:sz w:val="32"/>
          <w:szCs w:val="32"/>
        </w:rPr>
        <w:t>（三）</w:t>
      </w:r>
      <w:r>
        <w:rPr>
          <w:rFonts w:ascii="楷体_GB2312" w:eastAsia="楷体_GB2312"/>
          <w:b/>
          <w:snapToGrid w:val="0"/>
          <w:kern w:val="0"/>
          <w:sz w:val="32"/>
          <w:szCs w:val="32"/>
        </w:rPr>
        <w:t>积分兑换规则</w:t>
      </w:r>
    </w:p>
    <w:p>
      <w:pPr>
        <w:spacing w:line="560" w:lineRule="exact"/>
        <w:ind w:firstLine="640"/>
        <w:rPr>
          <w:rFonts w:eastAsia="仿宋_GB2312"/>
          <w:snapToGrid w:val="0"/>
          <w:kern w:val="0"/>
          <w:sz w:val="32"/>
          <w:szCs w:val="32"/>
        </w:rPr>
      </w:pPr>
      <w:r>
        <w:rPr>
          <w:rFonts w:eastAsia="仿宋_GB2312"/>
          <w:snapToGrid w:val="0"/>
          <w:kern w:val="0"/>
          <w:sz w:val="32"/>
          <w:szCs w:val="32"/>
        </w:rPr>
        <w:t>广州继教网“学时银行”积分系统将自动按照以上规则记录、存储、累计积分，教师可在“个人中心”查询、浏览所获得积分，以自愿为原则并按照个人需要提取兑换为当年度专业科目学时或个人选修科目学时。</w:t>
      </w:r>
    </w:p>
    <w:p>
      <w:pPr>
        <w:adjustRightInd w:val="0"/>
        <w:snapToGrid w:val="0"/>
        <w:spacing w:line="560" w:lineRule="exact"/>
        <w:ind w:firstLine="672" w:firstLineChars="210"/>
        <w:rPr>
          <w:rFonts w:eastAsia="仿宋_GB2312"/>
          <w:snapToGrid w:val="0"/>
          <w:kern w:val="0"/>
          <w:sz w:val="32"/>
          <w:szCs w:val="32"/>
        </w:rPr>
      </w:pPr>
      <w:r>
        <w:rPr>
          <w:rFonts w:hint="eastAsia" w:eastAsia="仿宋_GB2312"/>
          <w:snapToGrid w:val="0"/>
          <w:kern w:val="0"/>
          <w:sz w:val="32"/>
          <w:szCs w:val="32"/>
        </w:rPr>
        <w:t>1</w:t>
      </w:r>
      <w:r>
        <w:rPr>
          <w:rFonts w:eastAsia="仿宋_GB2312"/>
          <w:snapToGrid w:val="0"/>
          <w:kern w:val="0"/>
          <w:sz w:val="32"/>
          <w:szCs w:val="32"/>
        </w:rPr>
        <w:t>.兑换比例：积满100积分即可兑换1学时，依次累加。最高允许兑换专业科目</w:t>
      </w:r>
      <w:r>
        <w:rPr>
          <w:rFonts w:eastAsia="仿宋_GB2312"/>
          <w:b/>
          <w:snapToGrid w:val="0"/>
          <w:kern w:val="0"/>
          <w:sz w:val="32"/>
          <w:szCs w:val="32"/>
        </w:rPr>
        <w:t>10</w:t>
      </w:r>
      <w:r>
        <w:rPr>
          <w:rFonts w:eastAsia="仿宋_GB2312"/>
          <w:snapToGrid w:val="0"/>
          <w:kern w:val="0"/>
          <w:sz w:val="32"/>
          <w:szCs w:val="32"/>
        </w:rPr>
        <w:t>学时、个人选修科目</w:t>
      </w:r>
      <w:r>
        <w:rPr>
          <w:rFonts w:eastAsia="仿宋_GB2312"/>
          <w:b/>
          <w:snapToGrid w:val="0"/>
          <w:kern w:val="0"/>
          <w:sz w:val="32"/>
          <w:szCs w:val="32"/>
        </w:rPr>
        <w:t>10</w:t>
      </w:r>
      <w:r>
        <w:rPr>
          <w:rFonts w:eastAsia="仿宋_GB2312"/>
          <w:snapToGrid w:val="0"/>
          <w:kern w:val="0"/>
          <w:sz w:val="32"/>
          <w:szCs w:val="32"/>
        </w:rPr>
        <w:t>学时；</w:t>
      </w:r>
    </w:p>
    <w:p>
      <w:pPr>
        <w:adjustRightInd w:val="0"/>
        <w:snapToGrid w:val="0"/>
        <w:spacing w:line="560" w:lineRule="exact"/>
        <w:ind w:firstLine="672" w:firstLineChars="210"/>
        <w:rPr>
          <w:rFonts w:eastAsia="仿宋_GB2312"/>
          <w:snapToGrid w:val="0"/>
          <w:kern w:val="0"/>
          <w:sz w:val="32"/>
          <w:szCs w:val="32"/>
        </w:rPr>
      </w:pPr>
      <w:r>
        <w:rPr>
          <w:rFonts w:hint="eastAsia" w:eastAsia="仿宋_GB2312"/>
          <w:snapToGrid w:val="0"/>
          <w:kern w:val="0"/>
          <w:sz w:val="32"/>
          <w:szCs w:val="32"/>
        </w:rPr>
        <w:t>2</w:t>
      </w:r>
      <w:r>
        <w:rPr>
          <w:rFonts w:eastAsia="仿宋_GB2312"/>
          <w:snapToGrid w:val="0"/>
          <w:kern w:val="0"/>
          <w:sz w:val="32"/>
          <w:szCs w:val="32"/>
        </w:rPr>
        <w:t>.兑换时间：系统设置兑换时间（系统会提前做出具体通知提醒），教师个人根据自身需求在规定时间内申请兑换，确认兑换学时数，学校或单位统一缴费后学时生效，平台进行学时登记；</w:t>
      </w:r>
    </w:p>
    <w:p>
      <w:pPr>
        <w:spacing w:line="560" w:lineRule="exact"/>
        <w:ind w:firstLine="640"/>
      </w:pPr>
      <w:r>
        <w:rPr>
          <w:rFonts w:hint="eastAsia" w:eastAsia="仿宋_GB2312"/>
          <w:snapToGrid w:val="0"/>
          <w:kern w:val="0"/>
          <w:sz w:val="32"/>
          <w:szCs w:val="32"/>
        </w:rPr>
        <w:t>3</w:t>
      </w:r>
      <w:r>
        <w:rPr>
          <w:rFonts w:eastAsia="仿宋_GB2312"/>
          <w:snapToGrid w:val="0"/>
          <w:kern w:val="0"/>
          <w:sz w:val="32"/>
          <w:szCs w:val="32"/>
        </w:rPr>
        <w:t>.积分时效：积分有效期</w:t>
      </w:r>
      <w:r>
        <w:rPr>
          <w:rFonts w:eastAsia="仿宋_GB2312"/>
          <w:b/>
          <w:snapToGrid w:val="0"/>
          <w:kern w:val="0"/>
          <w:sz w:val="32"/>
          <w:szCs w:val="32"/>
        </w:rPr>
        <w:t>1年（当年度）</w:t>
      </w:r>
      <w:r>
        <w:rPr>
          <w:rFonts w:eastAsia="仿宋_GB2312"/>
          <w:snapToGrid w:val="0"/>
          <w:kern w:val="0"/>
          <w:sz w:val="32"/>
          <w:szCs w:val="32"/>
        </w:rPr>
        <w:t>，以自然年度为周期进行兑换。周期过后系统积分自动清零。</w:t>
      </w:r>
      <w:bookmarkStart w:id="2" w:name="_GoBack"/>
      <w:bookmarkEnd w:id="2"/>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FF0E40"/>
    <w:multiLevelType w:val="singleLevel"/>
    <w:tmpl w:val="D6FF0E40"/>
    <w:lvl w:ilvl="0" w:tentative="0">
      <w:start w:val="1"/>
      <w:numFmt w:val="chineseCounting"/>
      <w:suff w:val="nothing"/>
      <w:lvlText w:val="（%1）"/>
      <w:lvlJc w:val="left"/>
      <w:pPr>
        <w:ind w:left="37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1Y2M5ZDc0MzVmNjMzMWM1ZjkxZjNlZjk5MWJkMTgifQ=="/>
  </w:docVars>
  <w:rsids>
    <w:rsidRoot w:val="00862376"/>
    <w:rsid w:val="0000069D"/>
    <w:rsid w:val="0000325F"/>
    <w:rsid w:val="000053C2"/>
    <w:rsid w:val="00006274"/>
    <w:rsid w:val="00007968"/>
    <w:rsid w:val="00007B91"/>
    <w:rsid w:val="000117DC"/>
    <w:rsid w:val="000140DE"/>
    <w:rsid w:val="00014307"/>
    <w:rsid w:val="00015650"/>
    <w:rsid w:val="00015AC0"/>
    <w:rsid w:val="00024890"/>
    <w:rsid w:val="00026EE3"/>
    <w:rsid w:val="00027985"/>
    <w:rsid w:val="0003727B"/>
    <w:rsid w:val="000402E0"/>
    <w:rsid w:val="00042CF6"/>
    <w:rsid w:val="00043989"/>
    <w:rsid w:val="00045158"/>
    <w:rsid w:val="000476F4"/>
    <w:rsid w:val="00050B68"/>
    <w:rsid w:val="00051B42"/>
    <w:rsid w:val="00055D54"/>
    <w:rsid w:val="00057E7B"/>
    <w:rsid w:val="000606F5"/>
    <w:rsid w:val="000629EF"/>
    <w:rsid w:val="00064B34"/>
    <w:rsid w:val="00067EAC"/>
    <w:rsid w:val="0007074F"/>
    <w:rsid w:val="000736E9"/>
    <w:rsid w:val="000752F8"/>
    <w:rsid w:val="000800CF"/>
    <w:rsid w:val="00080B26"/>
    <w:rsid w:val="00085897"/>
    <w:rsid w:val="00090DD3"/>
    <w:rsid w:val="00092E44"/>
    <w:rsid w:val="00094344"/>
    <w:rsid w:val="00095FEE"/>
    <w:rsid w:val="0009702F"/>
    <w:rsid w:val="00097941"/>
    <w:rsid w:val="00097A39"/>
    <w:rsid w:val="000A59C1"/>
    <w:rsid w:val="000A63CF"/>
    <w:rsid w:val="000A6617"/>
    <w:rsid w:val="000B02CB"/>
    <w:rsid w:val="000B5AB1"/>
    <w:rsid w:val="000B6953"/>
    <w:rsid w:val="000B7BD3"/>
    <w:rsid w:val="000C0FB7"/>
    <w:rsid w:val="000C1199"/>
    <w:rsid w:val="000C6279"/>
    <w:rsid w:val="000D2E2F"/>
    <w:rsid w:val="000D4656"/>
    <w:rsid w:val="000E0F68"/>
    <w:rsid w:val="000E250B"/>
    <w:rsid w:val="000E355B"/>
    <w:rsid w:val="000E66B7"/>
    <w:rsid w:val="000E6C0B"/>
    <w:rsid w:val="000E7097"/>
    <w:rsid w:val="000F2C10"/>
    <w:rsid w:val="000F43A2"/>
    <w:rsid w:val="000F560C"/>
    <w:rsid w:val="000F7780"/>
    <w:rsid w:val="0010021B"/>
    <w:rsid w:val="00100E16"/>
    <w:rsid w:val="00101DC0"/>
    <w:rsid w:val="0010276C"/>
    <w:rsid w:val="00102F7A"/>
    <w:rsid w:val="0010793B"/>
    <w:rsid w:val="00107980"/>
    <w:rsid w:val="0011126D"/>
    <w:rsid w:val="00113505"/>
    <w:rsid w:val="00114899"/>
    <w:rsid w:val="00114FC0"/>
    <w:rsid w:val="001209B7"/>
    <w:rsid w:val="00123847"/>
    <w:rsid w:val="00124ECC"/>
    <w:rsid w:val="001260C3"/>
    <w:rsid w:val="00126251"/>
    <w:rsid w:val="001328A8"/>
    <w:rsid w:val="001417A6"/>
    <w:rsid w:val="001427FF"/>
    <w:rsid w:val="0014427E"/>
    <w:rsid w:val="00144833"/>
    <w:rsid w:val="00147A7D"/>
    <w:rsid w:val="00153748"/>
    <w:rsid w:val="00154699"/>
    <w:rsid w:val="001560FA"/>
    <w:rsid w:val="00156E62"/>
    <w:rsid w:val="00157719"/>
    <w:rsid w:val="0016483A"/>
    <w:rsid w:val="001659E0"/>
    <w:rsid w:val="0016718A"/>
    <w:rsid w:val="00172596"/>
    <w:rsid w:val="00172D23"/>
    <w:rsid w:val="00180ECB"/>
    <w:rsid w:val="001854C4"/>
    <w:rsid w:val="00186EF8"/>
    <w:rsid w:val="001935DF"/>
    <w:rsid w:val="00193DB5"/>
    <w:rsid w:val="00193EB4"/>
    <w:rsid w:val="00194D3D"/>
    <w:rsid w:val="00197ED0"/>
    <w:rsid w:val="001A1AF9"/>
    <w:rsid w:val="001A26F8"/>
    <w:rsid w:val="001A42BB"/>
    <w:rsid w:val="001A4C7D"/>
    <w:rsid w:val="001A5581"/>
    <w:rsid w:val="001A7C92"/>
    <w:rsid w:val="001B1721"/>
    <w:rsid w:val="001B35A1"/>
    <w:rsid w:val="001B40F9"/>
    <w:rsid w:val="001B471F"/>
    <w:rsid w:val="001B6BAD"/>
    <w:rsid w:val="001B7F23"/>
    <w:rsid w:val="001C14F2"/>
    <w:rsid w:val="001C25AD"/>
    <w:rsid w:val="001C27FA"/>
    <w:rsid w:val="001C3B0C"/>
    <w:rsid w:val="001C7363"/>
    <w:rsid w:val="001D1724"/>
    <w:rsid w:val="001D24C2"/>
    <w:rsid w:val="001D2AD0"/>
    <w:rsid w:val="001D7371"/>
    <w:rsid w:val="001E1168"/>
    <w:rsid w:val="001E6812"/>
    <w:rsid w:val="001E6948"/>
    <w:rsid w:val="001F3389"/>
    <w:rsid w:val="001F69AD"/>
    <w:rsid w:val="00200FD5"/>
    <w:rsid w:val="002015B4"/>
    <w:rsid w:val="00202383"/>
    <w:rsid w:val="00202BBC"/>
    <w:rsid w:val="00203B06"/>
    <w:rsid w:val="00203B77"/>
    <w:rsid w:val="00204E82"/>
    <w:rsid w:val="00211A4A"/>
    <w:rsid w:val="00215619"/>
    <w:rsid w:val="00217AE7"/>
    <w:rsid w:val="002213BD"/>
    <w:rsid w:val="00222AB5"/>
    <w:rsid w:val="002261E2"/>
    <w:rsid w:val="00234BED"/>
    <w:rsid w:val="00235249"/>
    <w:rsid w:val="00235768"/>
    <w:rsid w:val="002427E6"/>
    <w:rsid w:val="00243869"/>
    <w:rsid w:val="00244EB2"/>
    <w:rsid w:val="00251381"/>
    <w:rsid w:val="0025184D"/>
    <w:rsid w:val="0026189F"/>
    <w:rsid w:val="00274850"/>
    <w:rsid w:val="00274F0F"/>
    <w:rsid w:val="0027558B"/>
    <w:rsid w:val="002755A1"/>
    <w:rsid w:val="00280FEE"/>
    <w:rsid w:val="0028244A"/>
    <w:rsid w:val="00285745"/>
    <w:rsid w:val="00290168"/>
    <w:rsid w:val="00290214"/>
    <w:rsid w:val="0029093F"/>
    <w:rsid w:val="002933AE"/>
    <w:rsid w:val="00293403"/>
    <w:rsid w:val="002941ED"/>
    <w:rsid w:val="0029518C"/>
    <w:rsid w:val="00297982"/>
    <w:rsid w:val="00297CD4"/>
    <w:rsid w:val="002A4852"/>
    <w:rsid w:val="002A685C"/>
    <w:rsid w:val="002B131D"/>
    <w:rsid w:val="002B4F9B"/>
    <w:rsid w:val="002C0682"/>
    <w:rsid w:val="002C3668"/>
    <w:rsid w:val="002C4089"/>
    <w:rsid w:val="002C632E"/>
    <w:rsid w:val="002D146A"/>
    <w:rsid w:val="002D1F87"/>
    <w:rsid w:val="002D6B87"/>
    <w:rsid w:val="002E1501"/>
    <w:rsid w:val="002E1A29"/>
    <w:rsid w:val="002E349A"/>
    <w:rsid w:val="002E4EE5"/>
    <w:rsid w:val="002E5E82"/>
    <w:rsid w:val="002F0882"/>
    <w:rsid w:val="002F0DA0"/>
    <w:rsid w:val="002F163B"/>
    <w:rsid w:val="00302480"/>
    <w:rsid w:val="003036C8"/>
    <w:rsid w:val="003051D0"/>
    <w:rsid w:val="00305C15"/>
    <w:rsid w:val="00317395"/>
    <w:rsid w:val="0032028C"/>
    <w:rsid w:val="00320368"/>
    <w:rsid w:val="003224A2"/>
    <w:rsid w:val="00322BFC"/>
    <w:rsid w:val="0032344B"/>
    <w:rsid w:val="003303D7"/>
    <w:rsid w:val="003313B3"/>
    <w:rsid w:val="00334761"/>
    <w:rsid w:val="00340811"/>
    <w:rsid w:val="0034276F"/>
    <w:rsid w:val="00343F49"/>
    <w:rsid w:val="003442ED"/>
    <w:rsid w:val="0034692E"/>
    <w:rsid w:val="00346D07"/>
    <w:rsid w:val="00347408"/>
    <w:rsid w:val="00347636"/>
    <w:rsid w:val="00354FFF"/>
    <w:rsid w:val="00356D56"/>
    <w:rsid w:val="00364C82"/>
    <w:rsid w:val="00366999"/>
    <w:rsid w:val="00367DE5"/>
    <w:rsid w:val="00373305"/>
    <w:rsid w:val="00373538"/>
    <w:rsid w:val="0037396D"/>
    <w:rsid w:val="00373E85"/>
    <w:rsid w:val="00374F86"/>
    <w:rsid w:val="0038104C"/>
    <w:rsid w:val="00383E4E"/>
    <w:rsid w:val="00384716"/>
    <w:rsid w:val="003848CD"/>
    <w:rsid w:val="003867AB"/>
    <w:rsid w:val="00386DD9"/>
    <w:rsid w:val="00387C01"/>
    <w:rsid w:val="00391D35"/>
    <w:rsid w:val="0039295F"/>
    <w:rsid w:val="00394250"/>
    <w:rsid w:val="003A0870"/>
    <w:rsid w:val="003A1DC4"/>
    <w:rsid w:val="003A3789"/>
    <w:rsid w:val="003A41A7"/>
    <w:rsid w:val="003A437F"/>
    <w:rsid w:val="003B4038"/>
    <w:rsid w:val="003B4EB1"/>
    <w:rsid w:val="003B615F"/>
    <w:rsid w:val="003C0D19"/>
    <w:rsid w:val="003C0DBE"/>
    <w:rsid w:val="003C0DDA"/>
    <w:rsid w:val="003C5194"/>
    <w:rsid w:val="003D0092"/>
    <w:rsid w:val="003D6153"/>
    <w:rsid w:val="003D6301"/>
    <w:rsid w:val="003D72C3"/>
    <w:rsid w:val="003E1F24"/>
    <w:rsid w:val="003E4DEB"/>
    <w:rsid w:val="003F194D"/>
    <w:rsid w:val="003F66B4"/>
    <w:rsid w:val="003F7339"/>
    <w:rsid w:val="004019CA"/>
    <w:rsid w:val="004029B8"/>
    <w:rsid w:val="00412750"/>
    <w:rsid w:val="00413F8C"/>
    <w:rsid w:val="004156D3"/>
    <w:rsid w:val="00420AD2"/>
    <w:rsid w:val="00421C68"/>
    <w:rsid w:val="004279D4"/>
    <w:rsid w:val="004306D1"/>
    <w:rsid w:val="00437DC3"/>
    <w:rsid w:val="00442D69"/>
    <w:rsid w:val="00447A18"/>
    <w:rsid w:val="00453763"/>
    <w:rsid w:val="004545B5"/>
    <w:rsid w:val="00454A54"/>
    <w:rsid w:val="00461144"/>
    <w:rsid w:val="00465970"/>
    <w:rsid w:val="0046736F"/>
    <w:rsid w:val="00471548"/>
    <w:rsid w:val="00473596"/>
    <w:rsid w:val="00473C47"/>
    <w:rsid w:val="00475E32"/>
    <w:rsid w:val="00476A83"/>
    <w:rsid w:val="00482547"/>
    <w:rsid w:val="004858A0"/>
    <w:rsid w:val="00486148"/>
    <w:rsid w:val="004936D6"/>
    <w:rsid w:val="00495BD9"/>
    <w:rsid w:val="00496E03"/>
    <w:rsid w:val="004A5332"/>
    <w:rsid w:val="004A53EA"/>
    <w:rsid w:val="004B4D98"/>
    <w:rsid w:val="004C68F6"/>
    <w:rsid w:val="004D02E5"/>
    <w:rsid w:val="004D0679"/>
    <w:rsid w:val="004D5D36"/>
    <w:rsid w:val="004D6CEB"/>
    <w:rsid w:val="004D70B1"/>
    <w:rsid w:val="004E4803"/>
    <w:rsid w:val="004E7173"/>
    <w:rsid w:val="004F0439"/>
    <w:rsid w:val="004F1FB7"/>
    <w:rsid w:val="004F3EA9"/>
    <w:rsid w:val="004F59F8"/>
    <w:rsid w:val="004F7C96"/>
    <w:rsid w:val="00500BFD"/>
    <w:rsid w:val="005015BB"/>
    <w:rsid w:val="00502D5B"/>
    <w:rsid w:val="00504D44"/>
    <w:rsid w:val="005061A0"/>
    <w:rsid w:val="005070A8"/>
    <w:rsid w:val="00514C07"/>
    <w:rsid w:val="00516F7A"/>
    <w:rsid w:val="00520275"/>
    <w:rsid w:val="00521D66"/>
    <w:rsid w:val="0052257F"/>
    <w:rsid w:val="00523B59"/>
    <w:rsid w:val="0053020F"/>
    <w:rsid w:val="00530E67"/>
    <w:rsid w:val="00532420"/>
    <w:rsid w:val="0053659E"/>
    <w:rsid w:val="00540DFB"/>
    <w:rsid w:val="00545DA8"/>
    <w:rsid w:val="00546329"/>
    <w:rsid w:val="00551095"/>
    <w:rsid w:val="00552172"/>
    <w:rsid w:val="0055733A"/>
    <w:rsid w:val="00565932"/>
    <w:rsid w:val="005660A2"/>
    <w:rsid w:val="00572951"/>
    <w:rsid w:val="00572EB1"/>
    <w:rsid w:val="00576F56"/>
    <w:rsid w:val="00577606"/>
    <w:rsid w:val="005801E1"/>
    <w:rsid w:val="00585178"/>
    <w:rsid w:val="00586571"/>
    <w:rsid w:val="005939C4"/>
    <w:rsid w:val="00595041"/>
    <w:rsid w:val="00596D01"/>
    <w:rsid w:val="005A45B5"/>
    <w:rsid w:val="005A5012"/>
    <w:rsid w:val="005B21C8"/>
    <w:rsid w:val="005B2796"/>
    <w:rsid w:val="005B3640"/>
    <w:rsid w:val="005B4668"/>
    <w:rsid w:val="005C021C"/>
    <w:rsid w:val="005C235F"/>
    <w:rsid w:val="005C3B77"/>
    <w:rsid w:val="005C3C83"/>
    <w:rsid w:val="005C3CA7"/>
    <w:rsid w:val="005C522B"/>
    <w:rsid w:val="005C6C12"/>
    <w:rsid w:val="005C7C75"/>
    <w:rsid w:val="005D0523"/>
    <w:rsid w:val="005D20ED"/>
    <w:rsid w:val="005D6D7E"/>
    <w:rsid w:val="005D6EA6"/>
    <w:rsid w:val="005E123F"/>
    <w:rsid w:val="005E25C0"/>
    <w:rsid w:val="005E444B"/>
    <w:rsid w:val="005E5F9A"/>
    <w:rsid w:val="005E6531"/>
    <w:rsid w:val="005E7583"/>
    <w:rsid w:val="005F1F95"/>
    <w:rsid w:val="005F79D6"/>
    <w:rsid w:val="006009C3"/>
    <w:rsid w:val="00600C74"/>
    <w:rsid w:val="00612A78"/>
    <w:rsid w:val="00614B74"/>
    <w:rsid w:val="006177EC"/>
    <w:rsid w:val="00622DEA"/>
    <w:rsid w:val="00624503"/>
    <w:rsid w:val="006247E2"/>
    <w:rsid w:val="00627698"/>
    <w:rsid w:val="006279F4"/>
    <w:rsid w:val="00631BAE"/>
    <w:rsid w:val="006330F4"/>
    <w:rsid w:val="00634D18"/>
    <w:rsid w:val="00641155"/>
    <w:rsid w:val="00643CE0"/>
    <w:rsid w:val="006451A2"/>
    <w:rsid w:val="00645FEE"/>
    <w:rsid w:val="00647AB0"/>
    <w:rsid w:val="00647D0D"/>
    <w:rsid w:val="0065118A"/>
    <w:rsid w:val="00651390"/>
    <w:rsid w:val="0065228A"/>
    <w:rsid w:val="00656E2C"/>
    <w:rsid w:val="00662F1C"/>
    <w:rsid w:val="006638B9"/>
    <w:rsid w:val="00663BEA"/>
    <w:rsid w:val="0066622B"/>
    <w:rsid w:val="006677D1"/>
    <w:rsid w:val="00671D4A"/>
    <w:rsid w:val="006725DE"/>
    <w:rsid w:val="00673BDD"/>
    <w:rsid w:val="00677873"/>
    <w:rsid w:val="00677926"/>
    <w:rsid w:val="006816C9"/>
    <w:rsid w:val="00682448"/>
    <w:rsid w:val="00683ACE"/>
    <w:rsid w:val="00684E94"/>
    <w:rsid w:val="006900EE"/>
    <w:rsid w:val="006925BA"/>
    <w:rsid w:val="006959B6"/>
    <w:rsid w:val="006A3A57"/>
    <w:rsid w:val="006A68B8"/>
    <w:rsid w:val="006B0B2D"/>
    <w:rsid w:val="006B1693"/>
    <w:rsid w:val="006B251D"/>
    <w:rsid w:val="006B3165"/>
    <w:rsid w:val="006B3922"/>
    <w:rsid w:val="006C250D"/>
    <w:rsid w:val="006C2FEC"/>
    <w:rsid w:val="006C30EA"/>
    <w:rsid w:val="006C3A2D"/>
    <w:rsid w:val="006C4BA9"/>
    <w:rsid w:val="006C6E6E"/>
    <w:rsid w:val="006D1500"/>
    <w:rsid w:val="006D2B2C"/>
    <w:rsid w:val="006D4C9F"/>
    <w:rsid w:val="006D5165"/>
    <w:rsid w:val="006E0716"/>
    <w:rsid w:val="006E5663"/>
    <w:rsid w:val="00700219"/>
    <w:rsid w:val="00700733"/>
    <w:rsid w:val="00702E9B"/>
    <w:rsid w:val="00712720"/>
    <w:rsid w:val="00712908"/>
    <w:rsid w:val="00721140"/>
    <w:rsid w:val="00724C87"/>
    <w:rsid w:val="007265E4"/>
    <w:rsid w:val="00731787"/>
    <w:rsid w:val="00733976"/>
    <w:rsid w:val="007405BB"/>
    <w:rsid w:val="00742F05"/>
    <w:rsid w:val="007432A0"/>
    <w:rsid w:val="00743893"/>
    <w:rsid w:val="00746612"/>
    <w:rsid w:val="00747126"/>
    <w:rsid w:val="00747528"/>
    <w:rsid w:val="00751BC7"/>
    <w:rsid w:val="00753089"/>
    <w:rsid w:val="007547CE"/>
    <w:rsid w:val="0075590E"/>
    <w:rsid w:val="007574D7"/>
    <w:rsid w:val="00757E9C"/>
    <w:rsid w:val="00763E1C"/>
    <w:rsid w:val="00764AC6"/>
    <w:rsid w:val="0076545F"/>
    <w:rsid w:val="00766450"/>
    <w:rsid w:val="007664B8"/>
    <w:rsid w:val="007712FB"/>
    <w:rsid w:val="00771711"/>
    <w:rsid w:val="00774BC3"/>
    <w:rsid w:val="00783C06"/>
    <w:rsid w:val="0078438E"/>
    <w:rsid w:val="00792C24"/>
    <w:rsid w:val="0079436D"/>
    <w:rsid w:val="007A104B"/>
    <w:rsid w:val="007A48E9"/>
    <w:rsid w:val="007A520A"/>
    <w:rsid w:val="007A739F"/>
    <w:rsid w:val="007B1636"/>
    <w:rsid w:val="007B1F82"/>
    <w:rsid w:val="007B3029"/>
    <w:rsid w:val="007B3952"/>
    <w:rsid w:val="007B40DF"/>
    <w:rsid w:val="007B54A9"/>
    <w:rsid w:val="007C1CE8"/>
    <w:rsid w:val="007D0F84"/>
    <w:rsid w:val="007D4A80"/>
    <w:rsid w:val="007E2507"/>
    <w:rsid w:val="007E32CD"/>
    <w:rsid w:val="007E5B26"/>
    <w:rsid w:val="007E5DAA"/>
    <w:rsid w:val="007F50CC"/>
    <w:rsid w:val="007F700F"/>
    <w:rsid w:val="008002AA"/>
    <w:rsid w:val="008003A9"/>
    <w:rsid w:val="00806504"/>
    <w:rsid w:val="00810AD8"/>
    <w:rsid w:val="008110B6"/>
    <w:rsid w:val="008146AE"/>
    <w:rsid w:val="00821400"/>
    <w:rsid w:val="008269D4"/>
    <w:rsid w:val="00830CB5"/>
    <w:rsid w:val="00831160"/>
    <w:rsid w:val="00831418"/>
    <w:rsid w:val="00831FCD"/>
    <w:rsid w:val="00834AEF"/>
    <w:rsid w:val="00836480"/>
    <w:rsid w:val="008401E3"/>
    <w:rsid w:val="00840475"/>
    <w:rsid w:val="0084308E"/>
    <w:rsid w:val="00844888"/>
    <w:rsid w:val="00844E35"/>
    <w:rsid w:val="00847BA7"/>
    <w:rsid w:val="008511AD"/>
    <w:rsid w:val="00854FE8"/>
    <w:rsid w:val="008565E7"/>
    <w:rsid w:val="00862376"/>
    <w:rsid w:val="0086304C"/>
    <w:rsid w:val="00865F32"/>
    <w:rsid w:val="00866ABC"/>
    <w:rsid w:val="00866E3E"/>
    <w:rsid w:val="00871B17"/>
    <w:rsid w:val="0088446C"/>
    <w:rsid w:val="00886E6D"/>
    <w:rsid w:val="00894889"/>
    <w:rsid w:val="008A18E7"/>
    <w:rsid w:val="008A2418"/>
    <w:rsid w:val="008B364A"/>
    <w:rsid w:val="008B49FB"/>
    <w:rsid w:val="008B4D16"/>
    <w:rsid w:val="008B6F5B"/>
    <w:rsid w:val="008B793C"/>
    <w:rsid w:val="008B7A05"/>
    <w:rsid w:val="008C317B"/>
    <w:rsid w:val="008D03A7"/>
    <w:rsid w:val="008D3C65"/>
    <w:rsid w:val="008D3C78"/>
    <w:rsid w:val="008D596C"/>
    <w:rsid w:val="008E4DFF"/>
    <w:rsid w:val="008F33A8"/>
    <w:rsid w:val="008F3C28"/>
    <w:rsid w:val="008F757C"/>
    <w:rsid w:val="0090027D"/>
    <w:rsid w:val="00900AE8"/>
    <w:rsid w:val="009027E7"/>
    <w:rsid w:val="00904683"/>
    <w:rsid w:val="0090710A"/>
    <w:rsid w:val="00911858"/>
    <w:rsid w:val="00911DB2"/>
    <w:rsid w:val="009227BF"/>
    <w:rsid w:val="00924376"/>
    <w:rsid w:val="009302B8"/>
    <w:rsid w:val="00933121"/>
    <w:rsid w:val="00935457"/>
    <w:rsid w:val="00942E7B"/>
    <w:rsid w:val="00946436"/>
    <w:rsid w:val="0094751E"/>
    <w:rsid w:val="00950D3C"/>
    <w:rsid w:val="0095197B"/>
    <w:rsid w:val="00952FB9"/>
    <w:rsid w:val="00953B56"/>
    <w:rsid w:val="00955AE1"/>
    <w:rsid w:val="00955E1B"/>
    <w:rsid w:val="009575F6"/>
    <w:rsid w:val="009631A6"/>
    <w:rsid w:val="0096366B"/>
    <w:rsid w:val="00974443"/>
    <w:rsid w:val="00975A17"/>
    <w:rsid w:val="0098263D"/>
    <w:rsid w:val="009830B6"/>
    <w:rsid w:val="00984332"/>
    <w:rsid w:val="00984522"/>
    <w:rsid w:val="00984F48"/>
    <w:rsid w:val="00987982"/>
    <w:rsid w:val="0099046D"/>
    <w:rsid w:val="00990D48"/>
    <w:rsid w:val="00992978"/>
    <w:rsid w:val="00994524"/>
    <w:rsid w:val="00997579"/>
    <w:rsid w:val="0099791F"/>
    <w:rsid w:val="009A0558"/>
    <w:rsid w:val="009A3BCF"/>
    <w:rsid w:val="009A6FE0"/>
    <w:rsid w:val="009A7024"/>
    <w:rsid w:val="009A7FA9"/>
    <w:rsid w:val="009B6454"/>
    <w:rsid w:val="009C439D"/>
    <w:rsid w:val="009D370A"/>
    <w:rsid w:val="009D381D"/>
    <w:rsid w:val="009E00A3"/>
    <w:rsid w:val="009E5425"/>
    <w:rsid w:val="009F65F9"/>
    <w:rsid w:val="00A01ED2"/>
    <w:rsid w:val="00A03638"/>
    <w:rsid w:val="00A06272"/>
    <w:rsid w:val="00A06856"/>
    <w:rsid w:val="00A11757"/>
    <w:rsid w:val="00A12A73"/>
    <w:rsid w:val="00A13E53"/>
    <w:rsid w:val="00A160BE"/>
    <w:rsid w:val="00A1716A"/>
    <w:rsid w:val="00A172E2"/>
    <w:rsid w:val="00A21F24"/>
    <w:rsid w:val="00A23629"/>
    <w:rsid w:val="00A2519E"/>
    <w:rsid w:val="00A25AC7"/>
    <w:rsid w:val="00A26893"/>
    <w:rsid w:val="00A30CF9"/>
    <w:rsid w:val="00A30E84"/>
    <w:rsid w:val="00A33CAC"/>
    <w:rsid w:val="00A3420A"/>
    <w:rsid w:val="00A35958"/>
    <w:rsid w:val="00A35E08"/>
    <w:rsid w:val="00A36ACE"/>
    <w:rsid w:val="00A479A4"/>
    <w:rsid w:val="00A51776"/>
    <w:rsid w:val="00A525B3"/>
    <w:rsid w:val="00A55B3B"/>
    <w:rsid w:val="00A5625F"/>
    <w:rsid w:val="00A5796E"/>
    <w:rsid w:val="00A67447"/>
    <w:rsid w:val="00A720E2"/>
    <w:rsid w:val="00A7307B"/>
    <w:rsid w:val="00A74436"/>
    <w:rsid w:val="00A80B94"/>
    <w:rsid w:val="00A83A1D"/>
    <w:rsid w:val="00A85A35"/>
    <w:rsid w:val="00A86E8B"/>
    <w:rsid w:val="00A915BD"/>
    <w:rsid w:val="00A93361"/>
    <w:rsid w:val="00A93377"/>
    <w:rsid w:val="00A934A7"/>
    <w:rsid w:val="00AA0AC9"/>
    <w:rsid w:val="00AA0BCD"/>
    <w:rsid w:val="00AA11A1"/>
    <w:rsid w:val="00AB2783"/>
    <w:rsid w:val="00AB2860"/>
    <w:rsid w:val="00AB6B7D"/>
    <w:rsid w:val="00AC15FF"/>
    <w:rsid w:val="00AC7412"/>
    <w:rsid w:val="00AD027E"/>
    <w:rsid w:val="00AD3430"/>
    <w:rsid w:val="00AD4E3B"/>
    <w:rsid w:val="00AD5783"/>
    <w:rsid w:val="00AD614E"/>
    <w:rsid w:val="00AE4394"/>
    <w:rsid w:val="00AE5156"/>
    <w:rsid w:val="00B02108"/>
    <w:rsid w:val="00B0232D"/>
    <w:rsid w:val="00B0428E"/>
    <w:rsid w:val="00B05DEE"/>
    <w:rsid w:val="00B10009"/>
    <w:rsid w:val="00B1196C"/>
    <w:rsid w:val="00B17273"/>
    <w:rsid w:val="00B17BD5"/>
    <w:rsid w:val="00B223C8"/>
    <w:rsid w:val="00B25BCC"/>
    <w:rsid w:val="00B27C0C"/>
    <w:rsid w:val="00B3105C"/>
    <w:rsid w:val="00B3193D"/>
    <w:rsid w:val="00B3249F"/>
    <w:rsid w:val="00B346F3"/>
    <w:rsid w:val="00B37705"/>
    <w:rsid w:val="00B413F8"/>
    <w:rsid w:val="00B54BC6"/>
    <w:rsid w:val="00B554AB"/>
    <w:rsid w:val="00B576B6"/>
    <w:rsid w:val="00B63C8E"/>
    <w:rsid w:val="00B6420A"/>
    <w:rsid w:val="00B70170"/>
    <w:rsid w:val="00B70ED5"/>
    <w:rsid w:val="00B7273D"/>
    <w:rsid w:val="00B73F8B"/>
    <w:rsid w:val="00B76C88"/>
    <w:rsid w:val="00B81980"/>
    <w:rsid w:val="00B81AD4"/>
    <w:rsid w:val="00B83CE6"/>
    <w:rsid w:val="00B83D50"/>
    <w:rsid w:val="00B85B5C"/>
    <w:rsid w:val="00B929A0"/>
    <w:rsid w:val="00B937EA"/>
    <w:rsid w:val="00BA20A2"/>
    <w:rsid w:val="00BA5A5B"/>
    <w:rsid w:val="00BA6D62"/>
    <w:rsid w:val="00BB22BE"/>
    <w:rsid w:val="00BB29C4"/>
    <w:rsid w:val="00BB32B4"/>
    <w:rsid w:val="00BB381D"/>
    <w:rsid w:val="00BB4D0B"/>
    <w:rsid w:val="00BB6A0F"/>
    <w:rsid w:val="00BC02B3"/>
    <w:rsid w:val="00BC0591"/>
    <w:rsid w:val="00BC3B0A"/>
    <w:rsid w:val="00BC3B2F"/>
    <w:rsid w:val="00BD24F5"/>
    <w:rsid w:val="00BD6F54"/>
    <w:rsid w:val="00BE30E0"/>
    <w:rsid w:val="00BE42CB"/>
    <w:rsid w:val="00BF0FA1"/>
    <w:rsid w:val="00BF1B0D"/>
    <w:rsid w:val="00BF6C8F"/>
    <w:rsid w:val="00C01962"/>
    <w:rsid w:val="00C0488B"/>
    <w:rsid w:val="00C10896"/>
    <w:rsid w:val="00C13A7A"/>
    <w:rsid w:val="00C13AC1"/>
    <w:rsid w:val="00C13EE5"/>
    <w:rsid w:val="00C174C3"/>
    <w:rsid w:val="00C177F8"/>
    <w:rsid w:val="00C2079E"/>
    <w:rsid w:val="00C2189D"/>
    <w:rsid w:val="00C21A31"/>
    <w:rsid w:val="00C23B29"/>
    <w:rsid w:val="00C24730"/>
    <w:rsid w:val="00C25AB0"/>
    <w:rsid w:val="00C272FD"/>
    <w:rsid w:val="00C27CFB"/>
    <w:rsid w:val="00C30A42"/>
    <w:rsid w:val="00C31F5F"/>
    <w:rsid w:val="00C344E2"/>
    <w:rsid w:val="00C37493"/>
    <w:rsid w:val="00C413D1"/>
    <w:rsid w:val="00C41C21"/>
    <w:rsid w:val="00C41E4B"/>
    <w:rsid w:val="00C41FA4"/>
    <w:rsid w:val="00C44F30"/>
    <w:rsid w:val="00C508F9"/>
    <w:rsid w:val="00C50B12"/>
    <w:rsid w:val="00C5244F"/>
    <w:rsid w:val="00C52CD9"/>
    <w:rsid w:val="00C5653B"/>
    <w:rsid w:val="00C56BB3"/>
    <w:rsid w:val="00C57409"/>
    <w:rsid w:val="00C579C8"/>
    <w:rsid w:val="00C60368"/>
    <w:rsid w:val="00C63ACE"/>
    <w:rsid w:val="00C64898"/>
    <w:rsid w:val="00C66ABB"/>
    <w:rsid w:val="00C66C7F"/>
    <w:rsid w:val="00C70FA7"/>
    <w:rsid w:val="00C76198"/>
    <w:rsid w:val="00C7703B"/>
    <w:rsid w:val="00C7797F"/>
    <w:rsid w:val="00C80AC0"/>
    <w:rsid w:val="00C83358"/>
    <w:rsid w:val="00C83E97"/>
    <w:rsid w:val="00C84137"/>
    <w:rsid w:val="00C86262"/>
    <w:rsid w:val="00C86C9B"/>
    <w:rsid w:val="00C87328"/>
    <w:rsid w:val="00C910C3"/>
    <w:rsid w:val="00C91A94"/>
    <w:rsid w:val="00C93D4E"/>
    <w:rsid w:val="00C9401E"/>
    <w:rsid w:val="00C955FE"/>
    <w:rsid w:val="00C97606"/>
    <w:rsid w:val="00CA3534"/>
    <w:rsid w:val="00CA3E4F"/>
    <w:rsid w:val="00CA5D42"/>
    <w:rsid w:val="00CA6D99"/>
    <w:rsid w:val="00CA6E2E"/>
    <w:rsid w:val="00CB3467"/>
    <w:rsid w:val="00CB7613"/>
    <w:rsid w:val="00CC05BA"/>
    <w:rsid w:val="00CC5825"/>
    <w:rsid w:val="00CC72B5"/>
    <w:rsid w:val="00CC7717"/>
    <w:rsid w:val="00CD2B35"/>
    <w:rsid w:val="00CD7A00"/>
    <w:rsid w:val="00CE4C0E"/>
    <w:rsid w:val="00CE6213"/>
    <w:rsid w:val="00CE6257"/>
    <w:rsid w:val="00CF07EA"/>
    <w:rsid w:val="00CF265A"/>
    <w:rsid w:val="00CF5674"/>
    <w:rsid w:val="00CF6ECF"/>
    <w:rsid w:val="00CF73D5"/>
    <w:rsid w:val="00CF7E7D"/>
    <w:rsid w:val="00D04091"/>
    <w:rsid w:val="00D047C3"/>
    <w:rsid w:val="00D076E1"/>
    <w:rsid w:val="00D20796"/>
    <w:rsid w:val="00D215AD"/>
    <w:rsid w:val="00D24ED6"/>
    <w:rsid w:val="00D353CC"/>
    <w:rsid w:val="00D435C9"/>
    <w:rsid w:val="00D44200"/>
    <w:rsid w:val="00D44F50"/>
    <w:rsid w:val="00D473B8"/>
    <w:rsid w:val="00D55E1A"/>
    <w:rsid w:val="00D56334"/>
    <w:rsid w:val="00D5713B"/>
    <w:rsid w:val="00D57FD0"/>
    <w:rsid w:val="00D62264"/>
    <w:rsid w:val="00D6229F"/>
    <w:rsid w:val="00D65642"/>
    <w:rsid w:val="00D66135"/>
    <w:rsid w:val="00D70BE2"/>
    <w:rsid w:val="00D7127E"/>
    <w:rsid w:val="00D72DB8"/>
    <w:rsid w:val="00D734E0"/>
    <w:rsid w:val="00D73F1A"/>
    <w:rsid w:val="00D74EED"/>
    <w:rsid w:val="00D8086E"/>
    <w:rsid w:val="00D865D6"/>
    <w:rsid w:val="00D8669D"/>
    <w:rsid w:val="00D959E4"/>
    <w:rsid w:val="00D97010"/>
    <w:rsid w:val="00D978CC"/>
    <w:rsid w:val="00DA0788"/>
    <w:rsid w:val="00DA1019"/>
    <w:rsid w:val="00DA34E2"/>
    <w:rsid w:val="00DA61D4"/>
    <w:rsid w:val="00DB00E8"/>
    <w:rsid w:val="00DB07BE"/>
    <w:rsid w:val="00DB2F41"/>
    <w:rsid w:val="00DB361D"/>
    <w:rsid w:val="00DB3D58"/>
    <w:rsid w:val="00DB40A8"/>
    <w:rsid w:val="00DB75CE"/>
    <w:rsid w:val="00DB7953"/>
    <w:rsid w:val="00DC28B7"/>
    <w:rsid w:val="00DC5B5B"/>
    <w:rsid w:val="00DD40CD"/>
    <w:rsid w:val="00DE402E"/>
    <w:rsid w:val="00DE4C89"/>
    <w:rsid w:val="00DE5E35"/>
    <w:rsid w:val="00E00AEC"/>
    <w:rsid w:val="00E02057"/>
    <w:rsid w:val="00E02112"/>
    <w:rsid w:val="00E0235E"/>
    <w:rsid w:val="00E03825"/>
    <w:rsid w:val="00E0579B"/>
    <w:rsid w:val="00E06885"/>
    <w:rsid w:val="00E12EF5"/>
    <w:rsid w:val="00E16445"/>
    <w:rsid w:val="00E16908"/>
    <w:rsid w:val="00E242F6"/>
    <w:rsid w:val="00E26858"/>
    <w:rsid w:val="00E2690C"/>
    <w:rsid w:val="00E26A64"/>
    <w:rsid w:val="00E313F0"/>
    <w:rsid w:val="00E327D8"/>
    <w:rsid w:val="00E32813"/>
    <w:rsid w:val="00E329E2"/>
    <w:rsid w:val="00E35ED5"/>
    <w:rsid w:val="00E36296"/>
    <w:rsid w:val="00E37704"/>
    <w:rsid w:val="00E37D4D"/>
    <w:rsid w:val="00E41314"/>
    <w:rsid w:val="00E415A7"/>
    <w:rsid w:val="00E41BDE"/>
    <w:rsid w:val="00E44E8D"/>
    <w:rsid w:val="00E455F6"/>
    <w:rsid w:val="00E458A9"/>
    <w:rsid w:val="00E464DF"/>
    <w:rsid w:val="00E5168A"/>
    <w:rsid w:val="00E53476"/>
    <w:rsid w:val="00E53CFF"/>
    <w:rsid w:val="00E54CAD"/>
    <w:rsid w:val="00E60BF0"/>
    <w:rsid w:val="00E625C9"/>
    <w:rsid w:val="00E642E5"/>
    <w:rsid w:val="00E71783"/>
    <w:rsid w:val="00E723A8"/>
    <w:rsid w:val="00E72CDD"/>
    <w:rsid w:val="00E72DD2"/>
    <w:rsid w:val="00E752D0"/>
    <w:rsid w:val="00E778C0"/>
    <w:rsid w:val="00E806BB"/>
    <w:rsid w:val="00E84558"/>
    <w:rsid w:val="00E87304"/>
    <w:rsid w:val="00E906D0"/>
    <w:rsid w:val="00E90D2D"/>
    <w:rsid w:val="00E9110F"/>
    <w:rsid w:val="00E926D6"/>
    <w:rsid w:val="00E94F1C"/>
    <w:rsid w:val="00E97E1B"/>
    <w:rsid w:val="00EA155E"/>
    <w:rsid w:val="00EA3087"/>
    <w:rsid w:val="00EA39EC"/>
    <w:rsid w:val="00EA7723"/>
    <w:rsid w:val="00EB1B0F"/>
    <w:rsid w:val="00EB1FD5"/>
    <w:rsid w:val="00EB30B1"/>
    <w:rsid w:val="00EB3C86"/>
    <w:rsid w:val="00EB42D3"/>
    <w:rsid w:val="00EC179E"/>
    <w:rsid w:val="00ED215C"/>
    <w:rsid w:val="00ED4CC7"/>
    <w:rsid w:val="00ED6A4E"/>
    <w:rsid w:val="00EE6646"/>
    <w:rsid w:val="00EE67F1"/>
    <w:rsid w:val="00EF022F"/>
    <w:rsid w:val="00EF3BC8"/>
    <w:rsid w:val="00EF498F"/>
    <w:rsid w:val="00EF4E03"/>
    <w:rsid w:val="00EF5404"/>
    <w:rsid w:val="00F041E0"/>
    <w:rsid w:val="00F052E7"/>
    <w:rsid w:val="00F103D5"/>
    <w:rsid w:val="00F119BC"/>
    <w:rsid w:val="00F140FE"/>
    <w:rsid w:val="00F14636"/>
    <w:rsid w:val="00F16D18"/>
    <w:rsid w:val="00F17803"/>
    <w:rsid w:val="00F20755"/>
    <w:rsid w:val="00F22845"/>
    <w:rsid w:val="00F232A2"/>
    <w:rsid w:val="00F24A95"/>
    <w:rsid w:val="00F31418"/>
    <w:rsid w:val="00F33054"/>
    <w:rsid w:val="00F3701F"/>
    <w:rsid w:val="00F42B29"/>
    <w:rsid w:val="00F42F52"/>
    <w:rsid w:val="00F44775"/>
    <w:rsid w:val="00F45AC4"/>
    <w:rsid w:val="00F5168B"/>
    <w:rsid w:val="00F55AB4"/>
    <w:rsid w:val="00F56C9E"/>
    <w:rsid w:val="00F62538"/>
    <w:rsid w:val="00F653A1"/>
    <w:rsid w:val="00F658A8"/>
    <w:rsid w:val="00F735D5"/>
    <w:rsid w:val="00F757B9"/>
    <w:rsid w:val="00F7600C"/>
    <w:rsid w:val="00F821D1"/>
    <w:rsid w:val="00F858F6"/>
    <w:rsid w:val="00F906A6"/>
    <w:rsid w:val="00F93ECC"/>
    <w:rsid w:val="00F96535"/>
    <w:rsid w:val="00FA06A3"/>
    <w:rsid w:val="00FA1076"/>
    <w:rsid w:val="00FA1407"/>
    <w:rsid w:val="00FA283F"/>
    <w:rsid w:val="00FA6C7C"/>
    <w:rsid w:val="00FB0F1E"/>
    <w:rsid w:val="00FB4E29"/>
    <w:rsid w:val="00FB5414"/>
    <w:rsid w:val="00FC5472"/>
    <w:rsid w:val="00FC70D7"/>
    <w:rsid w:val="00FD017D"/>
    <w:rsid w:val="00FD369B"/>
    <w:rsid w:val="00FD5363"/>
    <w:rsid w:val="00FD6D90"/>
    <w:rsid w:val="00FF4127"/>
    <w:rsid w:val="00FF5B1E"/>
    <w:rsid w:val="04872E65"/>
    <w:rsid w:val="048C21D9"/>
    <w:rsid w:val="0FE4264A"/>
    <w:rsid w:val="119512F2"/>
    <w:rsid w:val="14830C34"/>
    <w:rsid w:val="1E74274B"/>
    <w:rsid w:val="247E49C4"/>
    <w:rsid w:val="279E1536"/>
    <w:rsid w:val="27CF3306"/>
    <w:rsid w:val="2C153F51"/>
    <w:rsid w:val="3D932E36"/>
    <w:rsid w:val="41E07282"/>
    <w:rsid w:val="463F762E"/>
    <w:rsid w:val="479B282C"/>
    <w:rsid w:val="48621D83"/>
    <w:rsid w:val="56397E0E"/>
    <w:rsid w:val="57DD7B2D"/>
    <w:rsid w:val="5D1076B3"/>
    <w:rsid w:val="6367429A"/>
    <w:rsid w:val="6384389A"/>
    <w:rsid w:val="70C108B5"/>
    <w:rsid w:val="71EE7595"/>
    <w:rsid w:val="72855F57"/>
    <w:rsid w:val="7F921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
    <w:qFormat/>
    <w:uiPriority w:val="0"/>
    <w:pPr>
      <w:keepNext/>
      <w:keepLines/>
      <w:jc w:val="center"/>
      <w:outlineLvl w:val="0"/>
    </w:pPr>
    <w:rPr>
      <w:rFonts w:eastAsia="方正小标宋_GBK"/>
      <w:bCs/>
      <w:kern w:val="44"/>
      <w:sz w:val="44"/>
      <w:szCs w:val="44"/>
    </w:rPr>
  </w:style>
  <w:style w:type="paragraph" w:styleId="3">
    <w:name w:val="heading 2"/>
    <w:basedOn w:val="1"/>
    <w:next w:val="1"/>
    <w:link w:val="8"/>
    <w:qFormat/>
    <w:uiPriority w:val="9"/>
    <w:pPr>
      <w:keepNext/>
      <w:keepLines/>
      <w:outlineLvl w:val="1"/>
    </w:pPr>
    <w:rPr>
      <w:rFonts w:ascii="Cambria" w:hAnsi="Cambria" w:eastAsia="黑体"/>
      <w:bCs/>
      <w:szCs w:val="32"/>
    </w:rPr>
  </w:style>
  <w:style w:type="paragraph" w:styleId="4">
    <w:name w:val="heading 3"/>
    <w:basedOn w:val="1"/>
    <w:next w:val="1"/>
    <w:link w:val="9"/>
    <w:qFormat/>
    <w:uiPriority w:val="9"/>
    <w:pPr>
      <w:outlineLvl w:val="2"/>
    </w:pPr>
    <w:rPr>
      <w:rFonts w:eastAsia="楷体_GB2312"/>
      <w:bCs/>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customStyle="1" w:styleId="7">
    <w:name w:val="标题 1 Char"/>
    <w:basedOn w:val="6"/>
    <w:link w:val="2"/>
    <w:qFormat/>
    <w:uiPriority w:val="0"/>
    <w:rPr>
      <w:rFonts w:ascii="Times New Roman" w:hAnsi="Times New Roman" w:eastAsia="方正小标宋_GBK"/>
      <w:bCs/>
      <w:kern w:val="44"/>
      <w:sz w:val="44"/>
      <w:szCs w:val="44"/>
    </w:rPr>
  </w:style>
  <w:style w:type="character" w:customStyle="1" w:styleId="8">
    <w:name w:val="标题 2 Char"/>
    <w:basedOn w:val="6"/>
    <w:link w:val="3"/>
    <w:qFormat/>
    <w:uiPriority w:val="9"/>
    <w:rPr>
      <w:rFonts w:ascii="Cambria" w:hAnsi="Cambria" w:eastAsia="黑体"/>
      <w:bCs/>
      <w:sz w:val="32"/>
      <w:szCs w:val="32"/>
    </w:rPr>
  </w:style>
  <w:style w:type="character" w:customStyle="1" w:styleId="9">
    <w:name w:val="标题 3 Char"/>
    <w:basedOn w:val="6"/>
    <w:link w:val="4"/>
    <w:qFormat/>
    <w:uiPriority w:val="9"/>
    <w:rPr>
      <w:rFonts w:ascii="Times New Roman" w:hAnsi="Times New Roman" w:eastAsia="楷体_GB2312"/>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2142</Words>
  <Characters>2218</Characters>
  <Lines>46</Lines>
  <Paragraphs>13</Paragraphs>
  <TotalTime>2</TotalTime>
  <ScaleCrop>false</ScaleCrop>
  <LinksUpToDate>false</LinksUpToDate>
  <CharactersWithSpaces>2218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2023-02-10T06:32:00Z</dcterms:created>
  <dc:creator>黄阶娟</dc:creator>
  <cp:lastModifiedBy>黄阶娟</cp:lastModifiedBy>
  <dcterms:modified xsi:type="dcterms:W3CDTF">2023-02-23T01:42:04Z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9131C5035CAC4F1F974CF34C8BF1D79E</vt:lpwstr>
  </property>
</Properties>
</file>